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06894.xml.htm"/>
      <w:bookmarkStart w:id="1" w:name="kswkform4_17870068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Serena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Goosehead Insurance, Inc.</w:t>
              </w:r>
            </w:hyperlink>
            <w:r>
              <w:rPr/>
              <w:t xml:space="preserve"> [ </w:t>
            </w:r>
            <w:r>
              <w:rPr>
                <w:rFonts w:ascii="Times;serif" w:hAnsi="Times;serif"/>
                <w:color w:val="0000FF"/>
                <w:sz w:val="24"/>
                <w:shd w:fill="FFFFFF" w:val="clear"/>
              </w:rPr>
              <w:t>GSHD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6"/>
        <w:gridCol w:w="918"/>
        <w:gridCol w:w="786"/>
        <w:gridCol w:w="610"/>
        <w:gridCol w:w="350"/>
        <w:gridCol w:w="801"/>
        <w:gridCol w:w="450"/>
        <w:gridCol w:w="672"/>
        <w:gridCol w:w="1163"/>
        <w:gridCol w:w="999"/>
        <w:gridCol w:w="116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367,697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67.5</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151,121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Dynasty Trust</w:t>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Dynasty Trust</w:t>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67.5</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Dynasty Trust</w:t>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Emily Marie Jones Trust</w:t>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Brendan Scot Jones Trust</w:t>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Joshua Thomas Jones Trust</w:t>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Benjamin Douglas Jones Trust</w:t>
            </w:r>
          </w:p>
        </w:tc>
      </w:tr>
      <w:tr>
        <w:trPr/>
        <w:tc>
          <w:tcPr>
            <w:tcW w:w="22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Alexandra Nicole Rogers Trust</w:t>
            </w:r>
          </w:p>
        </w:tc>
      </w:tr>
      <w:tr>
        <w:trPr/>
        <w:tc>
          <w:tcPr>
            <w:tcW w:w="22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114,777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2025 Grantor Retained Annuity Trust</w:t>
            </w:r>
          </w:p>
        </w:tc>
      </w:tr>
    </w:tbl>
    <w:tbl>
      <w:tblPr>
        <w:tblW w:w="12353"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302"/>
        <w:gridCol w:w="499"/>
        <w:gridCol w:w="906"/>
        <w:gridCol w:w="801"/>
        <w:gridCol w:w="891"/>
        <w:gridCol w:w="921"/>
        <w:gridCol w:w="801"/>
        <w:gridCol w:w="936"/>
        <w:gridCol w:w="831"/>
        <w:gridCol w:w="996"/>
      </w:tblGrid>
      <w:tr>
        <w:trPr>
          <w:tblHeader w:val="true"/>
        </w:trPr>
        <w:tc>
          <w:tcPr>
            <w:tcW w:w="1235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367,697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151,121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SLJ Dynasty Trust</w:t>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(1)</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Emily Marie Jones Trust</w:t>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(1)</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Brendan Scot Jones Trust</w:t>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(1)</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Joshua Thomas Jones Trust</w:t>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(1)</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Benjamin Douglas Jones Trust</w:t>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(1)</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Alexandra Nicole Rogers Trust</w:t>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114,777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(1)</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SLJ 2025 Grantor Retained Annuity Trust</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Jones Serena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SLJ Dynasty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Class B Common Stock or LLC Units, as applicable, held (a) directly by the named trust and (b) indirectly by Serena Jones, who serves as trustee of the named trust and whose immediate family members are beneficiaries of the named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LLC Unit, together with a share of Class B Common Stock, may be converted by the holder into one share of Class A Common Stock at any time. The LLC Units do not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Serena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SLJ Dynasty Trust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Know all by these presents, that the undersigned hereby constitutes and appoints each of Martin Thornthwaite and Mark E. Jones, Jr. as the undersigned’s true and lawful attorneys-in-fact to:</w:t>
      </w:r>
    </w:p>
    <w:p>
      <w:pPr>
        <w:pStyle w:val="TextBody"/>
        <w:bidi w:val="0"/>
        <w:spacing w:before="0" w:after="0"/>
        <w:jc w:val="both"/>
        <w:rPr/>
      </w:pPr>
      <w:r>
        <w:rPr/>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(1)    prepare and execute for and on behalf of the undersigned Forms 3, 4 and 5, including any amendments thereto, with respect to the securities of Goosehead Insurance, Inc. (the “Company”) in accordance with Section 16(a) of the Securities Exchange Act of 1934 and the rules and regulations thereunder (the “Exchange Act”);</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300" w:before="0" w:after="16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Follow</w:t>
      </w:r>
      <w:r>
        <w:rPr>
          <w:rFonts w:ascii="Times New Roman;serif" w:hAnsi="Times New Roman;serif"/>
          <w:b w:val="false"/>
          <w:color w:val="000000"/>
          <w:sz w:val="24"/>
        </w:rPr>
        <w:t>]</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both"/>
        <w:rPr/>
      </w:pPr>
      <w:r>
        <w:rPr>
          <w:rFonts w:ascii="Times New Roman;serif" w:hAnsi="Times New Roman;serif"/>
          <w:b w:val="false"/>
          <w:color w:val="000000"/>
          <w:sz w:val="24"/>
        </w:rPr>
        <w:t>IN WITNESS WHEREOF, the undersigned has caused this Power of Attorney to be executed as of this 13</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of August, 2026. </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Signature: /s/ Serena Jones                            </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Name:    Serena Jones</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16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84" w:after="283"/>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88" w:before="178" w:after="283"/>
        <w:jc w:val="both"/>
        <w:rPr>
          <w:rFonts w:ascii="Times New Roman;serif" w:hAnsi="Times New Roman;serif"/>
          <w:b w:val="false"/>
          <w:color w:val="000000"/>
          <w:sz w:val="24"/>
        </w:rPr>
      </w:pPr>
      <w:r>
        <w:rPr>
          <w:rFonts w:ascii="Times New Roman;serif" w:hAnsi="Times New Roman;serif"/>
          <w:b w:val="false"/>
          <w:color w:val="000000"/>
          <w:sz w:val="24"/>
        </w:rPr>
        <w:t>Know all by these presents, that the undersigned hereby constitutes and appoints each of Martin Thornthwaite and Mark E. Jones, Jr. as the undersigned’s true and lawful attorneys-in-fact to:</w:t>
      </w:r>
    </w:p>
    <w:p>
      <w:pPr>
        <w:pStyle w:val="TextBody"/>
        <w:bidi w:val="0"/>
        <w:spacing w:before="0" w:after="0"/>
        <w:jc w:val="left"/>
        <w:rPr/>
      </w:pPr>
      <w:r>
        <w:rPr/>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(1)prepare and execute for and on behalf of the undersigned Forms 3, 4 and 5, including any amendments thereto, with respect to the securities of Goosehead Insurance, Inc. (the “Company”) in accordance with Section 16(a) of the Securities Exchange Act of 1934 and the rules and regulations thereunder (the “Exchange Act”);</w:t>
      </w:r>
    </w:p>
    <w:p>
      <w:pPr>
        <w:pStyle w:val="TextBody"/>
        <w:bidi w:val="0"/>
        <w:spacing w:lineRule="auto" w:line="300" w:before="159" w:after="283"/>
        <w:jc w:val="both"/>
        <w:rPr>
          <w:rFonts w:ascii="Times New Roman;serif" w:hAnsi="Times New Roman;serif"/>
          <w:b w:val="false"/>
          <w:color w:val="000000"/>
          <w:sz w:val="24"/>
        </w:rPr>
      </w:pPr>
      <w:r>
        <w:rPr>
          <w:rFonts w:ascii="Times New Roman;serif" w:hAnsi="Times New Roman;serif"/>
          <w:b w:val="false"/>
          <w:color w:val="000000"/>
          <w:sz w:val="24"/>
        </w:rPr>
        <w:t>(2)do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bidi w:val="0"/>
        <w:spacing w:lineRule="auto" w:line="300" w:before="160" w:after="283"/>
        <w:jc w:val="both"/>
        <w:rPr>
          <w:rFonts w:ascii="Times New Roman;serif" w:hAnsi="Times New Roman;serif"/>
          <w:b w:val="false"/>
          <w:color w:val="000000"/>
          <w:sz w:val="24"/>
        </w:rPr>
      </w:pPr>
      <w:r>
        <w:rPr>
          <w:rFonts w:ascii="Times New Roman;serif" w:hAnsi="Times New Roman;serif"/>
          <w:b w:val="false"/>
          <w:color w:val="000000"/>
          <w:sz w:val="24"/>
        </w:rPr>
        <w:t>(3)take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pStyle w:val="TextBody"/>
        <w:bidi w:val="0"/>
        <w:spacing w:lineRule="auto" w:line="300" w:before="158" w:after="283"/>
        <w:jc w:val="both"/>
        <w:rPr>
          <w:rFonts w:ascii="Times New Roman;serif" w:hAnsi="Times New Roman;serif"/>
          <w:b w:val="false"/>
          <w:color w:val="000000"/>
          <w:sz w:val="24"/>
        </w:rPr>
      </w:pPr>
      <w:r>
        <w:rPr>
          <w:rFonts w:ascii="Times New Roman;serif" w:hAnsi="Times New Roman;serif"/>
          <w:b w:val="false"/>
          <w:color w:val="000000"/>
          <w:sz w:val="24"/>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lineRule="auto" w:line="300" w:before="159" w:after="283"/>
        <w:jc w:val="both"/>
        <w:rPr>
          <w:rFonts w:ascii="Times New Roman;serif" w:hAnsi="Times New Roman;serif"/>
          <w:b w:val="false"/>
          <w:color w:val="000000"/>
          <w:sz w:val="24"/>
        </w:rPr>
      </w:pPr>
      <w:r>
        <w:rPr>
          <w:rFonts w:ascii="Times New Roman;serif" w:hAnsi="Times New Roman;serif"/>
          <w:b w:val="false"/>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288" w:before="160"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Follow</w:t>
      </w:r>
      <w:r>
        <w:rPr>
          <w:rFonts w:ascii="Times New Roman;serif" w:hAnsi="Times New Roman;serif"/>
          <w:b w:val="false"/>
          <w:color w:val="000000"/>
          <w:sz w:val="24"/>
        </w:rPr>
        <w:t>]</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80" w:after="283"/>
        <w:jc w:val="left"/>
        <w:rPr/>
      </w:pPr>
      <w:r>
        <w:rPr>
          <w:rFonts w:ascii="Times New Roman;serif" w:hAnsi="Times New Roman;serif"/>
          <w:b w:val="false"/>
          <w:color w:val="000000"/>
          <w:sz w:val="24"/>
        </w:rPr>
        <w:t>IN WITNESS WHEREOF, the undersigned have caused this Power of Attorney to be executed as of this 13</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August, 2026.</w:t>
      </w:r>
    </w:p>
    <w:p>
      <w:pPr>
        <w:pStyle w:val="TextBody"/>
        <w:bidi w:val="0"/>
        <w:spacing w:before="0" w:after="0"/>
        <w:jc w:val="left"/>
        <w:rPr/>
      </w:pPr>
      <w:r>
        <w:rPr/>
      </w:r>
    </w:p>
    <w:p>
      <w:pPr>
        <w:pStyle w:val="TextBody"/>
        <w:bidi w:val="0"/>
        <w:spacing w:before="71"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J.P. Morgan Trust Company of Delaware, Trustee of SLJ Dynasty Trust</w:t>
      </w:r>
    </w:p>
    <w:p>
      <w:pPr>
        <w:pStyle w:val="TextBody"/>
        <w:bidi w:val="0"/>
        <w:spacing w:lineRule="auto" w:line="288" w:before="175"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Signature: /s/ Ian Pavlekovich </w:t>
      </w:r>
    </w:p>
    <w:p>
      <w:pPr>
        <w:pStyle w:val="TextBody"/>
        <w:bidi w:val="0"/>
        <w:spacing w:lineRule="auto" w:line="288" w:before="183" w:after="283"/>
        <w:jc w:val="left"/>
        <w:rPr>
          <w:rFonts w:ascii="Times New Roman;serif" w:hAnsi="Times New Roman;serif"/>
          <w:b w:val="false"/>
          <w:color w:val="000000"/>
          <w:sz w:val="24"/>
        </w:rPr>
      </w:pPr>
      <w:r>
        <w:rPr>
          <w:rFonts w:ascii="Times New Roman;serif" w:hAnsi="Times New Roman;serif"/>
          <w:b w:val="false"/>
          <w:color w:val="000000"/>
          <w:sz w:val="24"/>
        </w:rPr>
        <w:t>Name: Ian Pavlekovich, Trust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783" TargetMode="External"/><Relationship Id="rId5" Type="http://schemas.openxmlformats.org/officeDocument/2006/relationships/hyperlink" Target="http://www.sec.gov/cgi-bin/browse-edgar?action=getcompany&amp;CIK=0001726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7783" TargetMode="External"/><Relationship Id="rId10" Type="http://schemas.openxmlformats.org/officeDocument/2006/relationships/hyperlink" Target="http://www.sec.gov/cgi-bin/browse-edgar?action=getcompany&amp;CIK=0001849957"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1971</Words>
  <Characters>10062</Characters>
  <CharactersWithSpaces>11814</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