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0001917193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Goosehead Insurance, Inc.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001-38466</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1500 Solana Blvd, Building 4, Suite 4500</w:t>
              <w:br/>
              <w:t>Westlake</w:t>
              <w:br/>
              <w:t xml:space="preserve">TEXAS </w:t>
              <w:br/>
              <w:t>76262</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214-838-5500</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Chick &amp; The Bear Irrevocable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270 Park Avenue - 10th Floor</w:t>
              <w:br/>
              <w:t>New York   NY   10017</w:t>
            </w:r>
          </w:p>
        </w:tc>
        <w:tc>
          <w:tcPr>
            <w:tcW w:w="1176" w:type="dxa"/>
            <w:tcBorders/>
            <w:vAlign w:val="center"/>
          </w:tcPr>
          <w:p>
            <w:pPr>
              <w:pStyle w:val="TableContents"/>
              <w:bidi w:val="0"/>
              <w:spacing w:before="0" w:after="283"/>
              <w:jc w:val="left"/>
              <w:rPr/>
            </w:pPr>
            <w:r>
              <w:rPr/>
              <w:t>5000</w:t>
            </w:r>
          </w:p>
        </w:tc>
        <w:tc>
          <w:tcPr>
            <w:tcW w:w="1385" w:type="dxa"/>
            <w:tcBorders/>
            <w:vAlign w:val="center"/>
          </w:tcPr>
          <w:p>
            <w:pPr>
              <w:pStyle w:val="TableContents"/>
              <w:bidi w:val="0"/>
              <w:spacing w:before="0" w:after="283"/>
              <w:jc w:val="left"/>
              <w:rPr/>
            </w:pPr>
            <w:r>
              <w:rPr/>
              <w:t>325000</w:t>
            </w:r>
          </w:p>
        </w:tc>
        <w:tc>
          <w:tcPr>
            <w:tcW w:w="1559" w:type="dxa"/>
            <w:tcBorders/>
            <w:vAlign w:val="center"/>
          </w:tcPr>
          <w:p>
            <w:pPr>
              <w:pStyle w:val="TableContents"/>
              <w:bidi w:val="0"/>
              <w:spacing w:before="0" w:after="283"/>
              <w:jc w:val="left"/>
              <w:rPr/>
            </w:pPr>
            <w:r>
              <w:rPr/>
              <w:t>23802805</w:t>
            </w:r>
          </w:p>
        </w:tc>
        <w:tc>
          <w:tcPr>
            <w:tcW w:w="1571" w:type="dxa"/>
            <w:tcBorders/>
            <w:vAlign w:val="center"/>
          </w:tcPr>
          <w:p>
            <w:pPr>
              <w:pStyle w:val="TableContents"/>
              <w:bidi w:val="0"/>
              <w:spacing w:before="0" w:after="283"/>
              <w:jc w:val="left"/>
              <w:rPr/>
            </w:pPr>
            <w:r>
              <w:rPr/>
              <w:t>07/28/2026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5"/>
        <w:gridCol w:w="1142"/>
        <w:gridCol w:w="1205"/>
        <w:gridCol w:w="1083"/>
        <w:gridCol w:w="1226"/>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Class A Common</w:t>
            </w:r>
          </w:p>
        </w:tc>
        <w:tc>
          <w:tcPr>
            <w:tcW w:w="1142" w:type="dxa"/>
            <w:tcBorders/>
            <w:vAlign w:val="center"/>
          </w:tcPr>
          <w:p>
            <w:pPr>
              <w:pStyle w:val="TableContents"/>
              <w:bidi w:val="0"/>
              <w:spacing w:before="0" w:after="283"/>
              <w:jc w:val="left"/>
              <w:rPr/>
            </w:pPr>
            <w:r>
              <w:rPr/>
              <w:t>07/28/2026</w:t>
            </w:r>
          </w:p>
        </w:tc>
        <w:tc>
          <w:tcPr>
            <w:tcW w:w="1503" w:type="dxa"/>
            <w:tcBorders/>
            <w:vAlign w:val="center"/>
          </w:tcPr>
          <w:p>
            <w:pPr>
              <w:pStyle w:val="TableContents"/>
              <w:bidi w:val="0"/>
              <w:spacing w:before="0" w:after="283"/>
              <w:jc w:val="left"/>
              <w:rPr/>
            </w:pPr>
            <w:r>
              <w:rPr/>
              <w:t>Class A Common Shares received in exchange of Class B Units. The Class B Units were acquired on April 27,2018</w:t>
            </w:r>
          </w:p>
        </w:tc>
        <w:tc>
          <w:tcPr>
            <w:tcW w:w="1214"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83" w:type="dxa"/>
            <w:tcBorders/>
            <w:vAlign w:val="center"/>
          </w:tcPr>
          <w:p>
            <w:pPr>
              <w:pStyle w:val="TableContents"/>
              <w:bidi w:val="0"/>
              <w:spacing w:before="0" w:after="283"/>
              <w:jc w:val="left"/>
              <w:rPr/>
            </w:pPr>
            <w:r>
              <w:rPr/>
              <w:t>07/28/2026</w:t>
            </w:r>
          </w:p>
        </w:tc>
        <w:tc>
          <w:tcPr>
            <w:tcW w:w="122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74"/>
        <w:gridCol w:w="8831"/>
      </w:tblGrid>
      <w:tr>
        <w:trPr/>
        <w:tc>
          <w:tcPr>
            <w:tcW w:w="1374" w:type="dxa"/>
            <w:tcBorders/>
            <w:vAlign w:val="center"/>
          </w:tcPr>
          <w:p>
            <w:pPr>
              <w:pStyle w:val="TableContents"/>
              <w:bidi w:val="0"/>
              <w:spacing w:before="0" w:after="283"/>
              <w:jc w:val="left"/>
              <w:rPr/>
            </w:pPr>
            <w:r>
              <w:rPr/>
              <w:t>Remarks</w:t>
            </w:r>
          </w:p>
        </w:tc>
        <w:tc>
          <w:tcPr>
            <w:tcW w:w="8831" w:type="dxa"/>
            <w:tcBorders/>
            <w:vAlign w:val="center"/>
          </w:tcPr>
          <w:p>
            <w:pPr>
              <w:pStyle w:val="TableContents"/>
              <w:bidi w:val="0"/>
              <w:spacing w:before="0" w:after="0"/>
              <w:jc w:val="left"/>
              <w:rPr/>
            </w:pPr>
            <w:r>
              <w:rPr/>
              <w:t>The shares filed today will be sold by the Chick &amp; The Bear Irrevocable Trust, Adrienne Kebodeaux as Trustee. The shares covered by this filing are units that will be exchanged on 07/28/26 or within three months from the date of this filing.</w:t>
            </w:r>
          </w:p>
        </w:tc>
      </w:tr>
      <w:tr>
        <w:trPr/>
        <w:tc>
          <w:tcPr>
            <w:tcW w:w="1374" w:type="dxa"/>
            <w:tcBorders/>
            <w:vAlign w:val="center"/>
          </w:tcPr>
          <w:p>
            <w:pPr>
              <w:pStyle w:val="TableContents"/>
              <w:bidi w:val="0"/>
              <w:spacing w:before="0" w:after="283"/>
              <w:jc w:val="left"/>
              <w:rPr/>
            </w:pPr>
            <w:r>
              <w:rPr/>
              <w:t>Date of Notice</w:t>
            </w:r>
          </w:p>
        </w:tc>
        <w:tc>
          <w:tcPr>
            <w:tcW w:w="8831"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4" w:type="dxa"/>
            <w:tcBorders/>
            <w:vAlign w:val="center"/>
          </w:tcPr>
          <w:p>
            <w:pPr>
              <w:pStyle w:val="TableContents"/>
              <w:bidi w:val="0"/>
              <w:spacing w:before="0" w:after="283"/>
              <w:jc w:val="left"/>
              <w:rPr/>
            </w:pPr>
            <w:r>
              <w:rPr/>
              <w:t>Signature</w:t>
            </w:r>
          </w:p>
        </w:tc>
        <w:tc>
          <w:tcPr>
            <w:tcW w:w="8831" w:type="dxa"/>
            <w:tcBorders/>
            <w:vAlign w:val="center"/>
          </w:tcPr>
          <w:p>
            <w:pPr>
              <w:pStyle w:val="TableContents"/>
              <w:bidi w:val="0"/>
              <w:spacing w:before="0" w:after="0"/>
              <w:jc w:val="left"/>
              <w:rPr/>
            </w:pPr>
            <w:r>
              <w:rPr/>
              <w:t>/s/ J.P. Morgan Securities LLC as agent and attorney-in-fact for Chick &amp; The Bear Irrevocable Trust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3255</Characters>
  <CharactersWithSpaces>3857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