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8,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Goosehead Insurance,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______________________________________________________________________________________________________</w:t>
      </w:r>
    </w:p>
    <w:tbl>
      <w:tblPr>
        <w:tblW w:w="5346" w:type="dxa"/>
        <w:jc w:val="center"/>
        <w:tblInd w:w="0" w:type="dxa"/>
        <w:tblLayout w:type="fixed"/>
        <w:tblCellMar>
          <w:top w:w="28" w:type="dxa"/>
          <w:left w:w="28" w:type="dxa"/>
          <w:bottom w:w="28" w:type="dxa"/>
          <w:right w:w="28" w:type="dxa"/>
        </w:tblCellMar>
      </w:tblPr>
      <w:tblGrid>
        <w:gridCol w:w="774"/>
        <w:gridCol w:w="680"/>
        <w:gridCol w:w="690"/>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001-38466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82-3886022</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1500 Solana Boulevard, Ste. 4500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Westlake, Texas 76262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214-838-5500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16"/>
        </w:rPr>
        <w:t>see</w:t>
      </w:r>
      <w:r>
        <w:rPr>
          <w:color w:val="000000"/>
        </w:rPr>
        <w:t xml:space="preserve"> </w:t>
      </w:r>
      <w:r>
        <w:rPr>
          <w:rFonts w:ascii="Times New Roman;serif" w:hAnsi="Times New Roman;serif"/>
          <w:b w:val="false"/>
          <w:color w:val="000000"/>
          <w:sz w:val="16"/>
        </w:rPr>
        <w:t>General Instruction A.2. below):</w:t>
      </w:r>
    </w:p>
    <w:tbl>
      <w:tblPr>
        <w:tblW w:w="8262" w:type="dxa"/>
        <w:jc w:val="left"/>
        <w:tblInd w:w="0" w:type="dxa"/>
        <w:tblLayout w:type="fixed"/>
        <w:tblCellMar>
          <w:top w:w="28" w:type="dxa"/>
          <w:left w:w="28" w:type="dxa"/>
          <w:bottom w:w="28" w:type="dxa"/>
          <w:right w:w="28" w:type="dxa"/>
        </w:tblCellMar>
      </w:tblPr>
      <w:tblGrid>
        <w:gridCol w:w="124"/>
        <w:gridCol w:w="109"/>
        <w:gridCol w:w="109"/>
        <w:gridCol w:w="2316"/>
        <w:gridCol w:w="2316"/>
        <w:gridCol w:w="32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 w:after="283"/>
              <w:jc w:val="left"/>
              <w:rPr>
                <w:color w:val="000000"/>
              </w:rPr>
            </w:pPr>
            <w:r>
              <w:rPr>
                <w:color w:val="000000"/>
              </w:rPr>
              <w:t>☐</w:t>
            </w:r>
          </w:p>
          <w:p>
            <w:pPr>
              <w:pStyle w:val="TableContents"/>
              <w:bidi w:val="0"/>
              <w:spacing w:before="0" w:after="20"/>
              <w:jc w:val="left"/>
              <w:rPr/>
            </w:pPr>
            <w:r>
              <w:rPr/>
            </w:r>
          </w:p>
        </w:tc>
        <w:tc>
          <w:tcPr>
            <w:tcW w:w="79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 w:after="283"/>
              <w:jc w:val="left"/>
              <w:rPr>
                <w:color w:val="000000"/>
              </w:rPr>
            </w:pPr>
            <w:r>
              <w:rPr>
                <w:color w:val="000000"/>
              </w:rPr>
              <w:t>☐</w:t>
            </w:r>
          </w:p>
          <w:p>
            <w:pPr>
              <w:pStyle w:val="TableContents"/>
              <w:bidi w:val="0"/>
              <w:spacing w:before="0" w:after="20"/>
              <w:jc w:val="left"/>
              <w:rPr/>
            </w:pPr>
            <w:r>
              <w:rPr/>
            </w:r>
          </w:p>
        </w:tc>
        <w:tc>
          <w:tcPr>
            <w:tcW w:w="79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 w:after="283"/>
              <w:jc w:val="left"/>
              <w:rPr>
                <w:color w:val="000000"/>
              </w:rPr>
            </w:pPr>
            <w:r>
              <w:rPr>
                <w:color w:val="000000"/>
              </w:rPr>
              <w:t>☐</w:t>
            </w:r>
          </w:p>
          <w:p>
            <w:pPr>
              <w:pStyle w:val="TableContents"/>
              <w:bidi w:val="0"/>
              <w:spacing w:before="0" w:after="20"/>
              <w:jc w:val="left"/>
              <w:rPr/>
            </w:pPr>
            <w:r>
              <w:rPr/>
            </w:r>
          </w:p>
        </w:tc>
        <w:tc>
          <w:tcPr>
            <w:tcW w:w="79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 w:after="283"/>
              <w:jc w:val="left"/>
              <w:rPr>
                <w:color w:val="000000"/>
              </w:rPr>
            </w:pPr>
            <w:r>
              <w:rPr>
                <w:color w:val="000000"/>
              </w:rPr>
              <w:t>☐</w:t>
            </w:r>
          </w:p>
          <w:p>
            <w:pPr>
              <w:pStyle w:val="TableContents"/>
              <w:bidi w:val="0"/>
              <w:spacing w:before="0" w:after="20"/>
              <w:jc w:val="left"/>
              <w:rPr/>
            </w:pPr>
            <w:r>
              <w:rPr/>
            </w:r>
          </w:p>
        </w:tc>
        <w:tc>
          <w:tcPr>
            <w:tcW w:w="792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374" w:type="dxa"/>
        <w:jc w:val="center"/>
        <w:tblInd w:w="0" w:type="dxa"/>
        <w:tblLayout w:type="fixed"/>
        <w:tblCellMar>
          <w:top w:w="28" w:type="dxa"/>
          <w:left w:w="28" w:type="dxa"/>
          <w:bottom w:w="28" w:type="dxa"/>
          <w:right w:w="28" w:type="dxa"/>
        </w:tblCellMar>
      </w:tblPr>
      <w:tblGrid>
        <w:gridCol w:w="1467"/>
        <w:gridCol w:w="1284"/>
        <w:gridCol w:w="1299"/>
        <w:gridCol w:w="539"/>
        <w:gridCol w:w="539"/>
        <w:gridCol w:w="541"/>
        <w:gridCol w:w="1085"/>
        <w:gridCol w:w="1085"/>
        <w:gridCol w:w="1535"/>
      </w:tblGrid>
      <w:tr>
        <w:trPr/>
        <w:tc>
          <w:tcPr>
            <w:tcW w:w="146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GSHD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68" w:before="240" w:after="283"/>
        <w:jc w:val="left"/>
        <w:rPr/>
      </w:pPr>
      <w:r>
        <w:rPr>
          <w:rFonts w:ascii="Times New Roman;serif" w:hAnsi="Times New Roman;serif"/>
          <w:b w:val="false"/>
          <w:color w:val="000000"/>
          <w:sz w:val="20"/>
        </w:rPr>
        <w:t>As previously disclosed, on August 8, 2023, Goosehead Insurance,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entered into a Stipulation of Compromise and Settlement (the “</w:t>
      </w:r>
      <w:r>
        <w:rPr>
          <w:rFonts w:ascii="Times New Roman;serif" w:hAnsi="Times New Roman;serif"/>
          <w:b w:val="false"/>
          <w:color w:val="000000"/>
          <w:sz w:val="20"/>
          <w:u w:val="single"/>
        </w:rPr>
        <w:t>Proposed Settlement</w:t>
      </w:r>
      <w:r>
        <w:rPr>
          <w:color w:val="000000"/>
        </w:rPr>
        <w:t>”</w:t>
      </w:r>
      <w:r>
        <w:rPr>
          <w:rFonts w:ascii="Times New Roman;serif" w:hAnsi="Times New Roman;serif"/>
          <w:b w:val="false"/>
          <w:color w:val="000000"/>
          <w:sz w:val="20"/>
        </w:rPr>
        <w:t xml:space="preserve">) with the named plaintiff in the matter </w:t>
      </w:r>
      <w:r>
        <w:rPr>
          <w:rFonts w:ascii="Times New Roman;serif" w:hAnsi="Times New Roman;serif"/>
          <w:b w:val="false"/>
          <w:i/>
          <w:color w:val="000000"/>
          <w:sz w:val="20"/>
        </w:rPr>
        <w:t>Mickey Dollens v. Goosehead Insurance, Inc.</w:t>
      </w:r>
      <w:r>
        <w:rPr>
          <w:color w:val="000000"/>
        </w:rPr>
        <w:t xml:space="preserve"> </w:t>
      </w:r>
      <w:r>
        <w:rPr>
          <w:rFonts w:ascii="Times New Roman;serif" w:hAnsi="Times New Roman;serif"/>
          <w:b w:val="false"/>
          <w:color w:val="000000"/>
          <w:sz w:val="20"/>
        </w:rPr>
        <w:t>(the “</w:t>
      </w:r>
      <w:r>
        <w:rPr>
          <w:rFonts w:ascii="Times New Roman;serif" w:hAnsi="Times New Roman;serif"/>
          <w:b w:val="false"/>
          <w:i/>
          <w:color w:val="000000"/>
          <w:sz w:val="20"/>
          <w:u w:val="single"/>
        </w:rPr>
        <w:t>Dollens</w:t>
      </w:r>
      <w:r>
        <w:rPr>
          <w:color w:val="000000"/>
          <w:u w:val="single"/>
        </w:rPr>
        <w:t xml:space="preserve"> </w:t>
      </w:r>
      <w:r>
        <w:rPr>
          <w:rFonts w:ascii="Times New Roman;serif" w:hAnsi="Times New Roman;serif"/>
          <w:b w:val="false"/>
          <w:color w:val="000000"/>
          <w:sz w:val="20"/>
          <w:u w:val="single"/>
        </w:rPr>
        <w:t>Action</w:t>
      </w:r>
      <w:r>
        <w:rPr>
          <w:color w:val="000000"/>
        </w:rPr>
        <w:t>”</w:t>
      </w:r>
      <w:r>
        <w:rPr>
          <w:rFonts w:ascii="Times New Roman;serif" w:hAnsi="Times New Roman;serif"/>
          <w:b w:val="false"/>
          <w:color w:val="000000"/>
          <w:sz w:val="20"/>
        </w:rPr>
        <w:t>), filed in the Court of Chancery of the State of Delaware (the “</w:t>
      </w:r>
      <w:r>
        <w:rPr>
          <w:rFonts w:ascii="Times New Roman;serif" w:hAnsi="Times New Roman;serif"/>
          <w:b w:val="false"/>
          <w:color w:val="000000"/>
          <w:sz w:val="20"/>
          <w:u w:val="single"/>
        </w:rPr>
        <w:t>Court</w:t>
      </w:r>
      <w:r>
        <w:rPr>
          <w:color w:val="000000"/>
        </w:rPr>
        <w:t>”</w:t>
      </w:r>
      <w:r>
        <w:rPr>
          <w:rFonts w:ascii="Times New Roman;serif" w:hAnsi="Times New Roman;serif"/>
          <w:b w:val="false"/>
          <w:color w:val="000000"/>
          <w:sz w:val="20"/>
        </w:rPr>
        <w:t>), C.A. No. 2022-1018-JTL. The Proposed Settlement was filed with the Court on September 12, 2023.</w:t>
      </w:r>
    </w:p>
    <w:p>
      <w:pPr>
        <w:pStyle w:val="TextBody"/>
        <w:bidi w:val="0"/>
        <w:spacing w:lineRule="auto" w:line="268" w:before="240" w:after="283"/>
        <w:jc w:val="left"/>
        <w:rPr/>
      </w:pPr>
      <w:r>
        <w:rPr>
          <w:rFonts w:ascii="Times New Roman;serif" w:hAnsi="Times New Roman;serif"/>
          <w:b w:val="false"/>
          <w:color w:val="000000"/>
          <w:sz w:val="20"/>
        </w:rPr>
        <w:t>Pursuant to the Proposed Settlement, the Company agreed to, upon the approval of the Proposed Settlement by the Court, effect certain amendments to the Stockholders Agreement, dated as of May 1, 2018 (the “</w:t>
      </w:r>
      <w:r>
        <w:rPr>
          <w:rFonts w:ascii="Times New Roman;serif" w:hAnsi="Times New Roman;serif"/>
          <w:b w:val="false"/>
          <w:color w:val="000000"/>
          <w:sz w:val="20"/>
          <w:u w:val="single"/>
        </w:rPr>
        <w:t>Original Stockholders Agreement</w:t>
      </w:r>
      <w:r>
        <w:rPr>
          <w:color w:val="000000"/>
        </w:rPr>
        <w:t>”</w:t>
      </w:r>
      <w:r>
        <w:rPr>
          <w:rFonts w:ascii="Times New Roman;serif" w:hAnsi="Times New Roman;serif"/>
          <w:b w:val="false"/>
          <w:color w:val="000000"/>
          <w:sz w:val="20"/>
        </w:rPr>
        <w:t>), by and among the Company and certain of its stockholders (such stockholders, the “</w:t>
      </w:r>
      <w:r>
        <w:rPr>
          <w:rFonts w:ascii="Times New Roman;serif" w:hAnsi="Times New Roman;serif"/>
          <w:b w:val="false"/>
          <w:color w:val="000000"/>
          <w:sz w:val="20"/>
          <w:u w:val="single"/>
        </w:rPr>
        <w:t>Pre-IPO Holders</w:t>
      </w:r>
      <w:r>
        <w:rPr>
          <w:color w:val="000000"/>
        </w:rPr>
        <w:t>”</w:t>
      </w:r>
      <w:r>
        <w:rPr>
          <w:rFonts w:ascii="Times New Roman;serif" w:hAnsi="Times New Roman;serif"/>
          <w:b w:val="false"/>
          <w:color w:val="000000"/>
          <w:sz w:val="20"/>
        </w:rPr>
        <w:t>). On June 30, 2026, the Court issued an Order and Final Judgment approving the Proposed Settlement.</w:t>
      </w:r>
    </w:p>
    <w:p>
      <w:pPr>
        <w:pStyle w:val="TextBody"/>
        <w:bidi w:val="0"/>
        <w:spacing w:lineRule="auto" w:line="268" w:before="240" w:after="283"/>
        <w:jc w:val="left"/>
        <w:rPr/>
      </w:pPr>
      <w:r>
        <w:rPr>
          <w:rFonts w:ascii="Times New Roman;serif" w:hAnsi="Times New Roman;serif"/>
          <w:b w:val="false"/>
          <w:color w:val="000000"/>
          <w:sz w:val="20"/>
        </w:rPr>
        <w:t xml:space="preserve">The Company settled the </w:t>
      </w:r>
      <w:r>
        <w:rPr>
          <w:rFonts w:ascii="Times New Roman;serif" w:hAnsi="Times New Roman;serif"/>
          <w:b w:val="false"/>
          <w:i/>
          <w:color w:val="000000"/>
          <w:sz w:val="20"/>
        </w:rPr>
        <w:t>Dollens</w:t>
      </w:r>
      <w:r>
        <w:rPr>
          <w:color w:val="000000"/>
        </w:rPr>
        <w:t xml:space="preserve"> </w:t>
      </w:r>
      <w:r>
        <w:rPr>
          <w:rFonts w:ascii="Times New Roman;serif" w:hAnsi="Times New Roman;serif"/>
          <w:b w:val="false"/>
          <w:color w:val="000000"/>
          <w:sz w:val="20"/>
        </w:rPr>
        <w:t xml:space="preserve">Action to avoid incurring significant expenses and diverting its management’s attention due to protracted litigation. In addition, the Company believes the settlement is consistent with the Court’s decision in </w:t>
      </w:r>
      <w:r>
        <w:rPr>
          <w:rFonts w:ascii="Times New Roman;serif" w:hAnsi="Times New Roman;serif"/>
          <w:b w:val="false"/>
          <w:i/>
          <w:color w:val="000000"/>
          <w:sz w:val="20"/>
        </w:rPr>
        <w:t>Moelis &amp; Co. v. West Palm Beach Firefighters' Pension Fund</w:t>
      </w:r>
      <w:r>
        <w:rPr>
          <w:color w:val="000000"/>
        </w:rPr>
        <w:t xml:space="preserve"> </w:t>
      </w:r>
      <w:r>
        <w:rPr>
          <w:rFonts w:ascii="Times New Roman;serif" w:hAnsi="Times New Roman;serif"/>
          <w:b w:val="false"/>
          <w:color w:val="000000"/>
          <w:sz w:val="20"/>
        </w:rPr>
        <w:t>(the “</w:t>
      </w:r>
      <w:r>
        <w:rPr>
          <w:rFonts w:ascii="Times New Roman;serif" w:hAnsi="Times New Roman;serif"/>
          <w:b w:val="false"/>
          <w:i/>
          <w:color w:val="000000"/>
          <w:sz w:val="20"/>
          <w:u w:val="single"/>
        </w:rPr>
        <w:t>Moelis</w:t>
      </w:r>
      <w:r>
        <w:rPr>
          <w:color w:val="000000"/>
          <w:u w:val="single"/>
        </w:rPr>
        <w:t xml:space="preserve"> </w:t>
      </w:r>
      <w:r>
        <w:rPr>
          <w:rFonts w:ascii="Times New Roman;serif" w:hAnsi="Times New Roman;serif"/>
          <w:b w:val="false"/>
          <w:color w:val="000000"/>
          <w:sz w:val="20"/>
          <w:u w:val="single"/>
        </w:rPr>
        <w:t>Decision</w:t>
      </w:r>
      <w:r>
        <w:rPr>
          <w:color w:val="000000"/>
        </w:rPr>
        <w:t>”</w:t>
      </w:r>
      <w:r>
        <w:rPr>
          <w:rFonts w:ascii="Times New Roman;serif" w:hAnsi="Times New Roman;serif"/>
          <w:b w:val="false"/>
          <w:color w:val="000000"/>
          <w:sz w:val="20"/>
        </w:rPr>
        <w:t xml:space="preserve">). Although the Delaware General Assembly subsequently amended the Delaware General Corporation Law to expressly authorize the types of provisions eliminated from the Original Stockholders Agreement by the terms of the Proposed Settlement and the </w:t>
      </w:r>
      <w:r>
        <w:rPr>
          <w:rFonts w:ascii="Times New Roman;serif" w:hAnsi="Times New Roman;serif"/>
          <w:b w:val="false"/>
          <w:i/>
          <w:color w:val="000000"/>
          <w:sz w:val="20"/>
        </w:rPr>
        <w:t>Moelis</w:t>
      </w:r>
      <w:r>
        <w:rPr>
          <w:color w:val="000000"/>
        </w:rPr>
        <w:t xml:space="preserve"> </w:t>
      </w:r>
      <w:r>
        <w:rPr>
          <w:rFonts w:ascii="Times New Roman;serif" w:hAnsi="Times New Roman;serif"/>
          <w:b w:val="false"/>
          <w:color w:val="000000"/>
          <w:sz w:val="20"/>
        </w:rPr>
        <w:t>Decision was reversed in January 2026 by the Delaware Supreme Court, the Company was required to comply with its obligations under the terms of the Proposed Settlement and proceed to finalize the settlement.</w:t>
      </w:r>
    </w:p>
    <w:p>
      <w:pPr>
        <w:pStyle w:val="TextBody"/>
        <w:bidi w:val="0"/>
        <w:spacing w:lineRule="auto" w:line="268" w:before="240" w:after="283"/>
        <w:jc w:val="left"/>
        <w:rPr/>
      </w:pPr>
      <w:r>
        <w:rPr>
          <w:rFonts w:ascii="Times New Roman;serif" w:hAnsi="Times New Roman;serif"/>
          <w:b w:val="false"/>
          <w:color w:val="000000"/>
          <w:sz w:val="20"/>
        </w:rPr>
        <w:t>On July 8, 2026, the Company and the Pre-IPO Holders entered into an Amended and Restated Stockholders Agreement (the “</w:t>
      </w:r>
      <w:r>
        <w:rPr>
          <w:rFonts w:ascii="Times New Roman;serif" w:hAnsi="Times New Roman;serif"/>
          <w:b w:val="false"/>
          <w:color w:val="000000"/>
          <w:sz w:val="20"/>
          <w:u w:val="single"/>
        </w:rPr>
        <w:t>A&amp;R Stockholders Agreement</w:t>
      </w:r>
      <w:r>
        <w:rPr>
          <w:color w:val="000000"/>
        </w:rPr>
        <w:t>”</w:t>
      </w:r>
      <w:r>
        <w:rPr>
          <w:rFonts w:ascii="Times New Roman;serif" w:hAnsi="Times New Roman;serif"/>
          <w:b w:val="false"/>
          <w:color w:val="000000"/>
          <w:sz w:val="20"/>
        </w:rPr>
        <w:t>), which fully amends and restates the Original Stockholders Agreement to implement the amendments contemplated by the Proposed Settlement.</w:t>
      </w:r>
    </w:p>
    <w:p>
      <w:pPr>
        <w:pStyle w:val="TextBody"/>
        <w:bidi w:val="0"/>
        <w:spacing w:lineRule="auto" w:line="268" w:before="240" w:after="283"/>
        <w:jc w:val="left"/>
        <w:rPr/>
      </w:pPr>
      <w:r>
        <w:rPr>
          <w:rFonts w:ascii="Times New Roman;serif" w:hAnsi="Times New Roman;serif"/>
          <w:b w:val="false"/>
          <w:color w:val="000000"/>
          <w:sz w:val="20"/>
        </w:rPr>
        <w:t>The A&amp;R Stockholders Agreement provides that, for so long as the Pre-IPO Holders beneficially hold at least 10% of the aggregate number of outstanding shares of the Company’s common stock (the “</w:t>
      </w:r>
      <w:r>
        <w:rPr>
          <w:rFonts w:ascii="Times New Roman;serif" w:hAnsi="Times New Roman;serif"/>
          <w:b w:val="false"/>
          <w:color w:val="000000"/>
          <w:sz w:val="20"/>
          <w:u w:val="single"/>
        </w:rPr>
        <w:t>Substantial Ownership Requirement</w:t>
      </w:r>
      <w:r>
        <w:rPr>
          <w:color w:val="000000"/>
        </w:rPr>
        <w:t>”</w:t>
      </w:r>
      <w:r>
        <w:rPr>
          <w:rFonts w:ascii="Times New Roman;serif" w:hAnsi="Times New Roman;serif"/>
          <w:b w:val="false"/>
          <w:color w:val="000000"/>
          <w:sz w:val="20"/>
        </w:rPr>
        <w:t>), approval by the Pre-IPO Holders will be required for certain corporate actions. These actions include: (a) any transaction or series of related transactions resulting in the merger, consolidation or sale of all, or substantially all, of the assets of the Company and its subsidiaries; (b) acquisitions or dispositions of assets in an amount exceeding 15% of the total assets of the Company and its subsidiaries; (c) the issuance of equity of the Company or any of its subsidiaries (other than under equity incentive plans that have received the prior approval of the Company’s board of directors) in an amount exceeding $50 million; (d) amendments to the Company’s certificate of incorporation or any board of directors-initiated amendments to the Company’s bylaws; (e) entering into any material new line of business that is not similar, ancillary, complementary or related to, or a reasonable extension, development or expansion of the Company’s existing business activities; and (f) any change in the size of the Company’s board of directors. The A&amp;R Stockholders Agreement also provides that, until the Substantial Ownership Requirement is no longer met, the approval of the Pre-IPO Holders will be required for compensation or benefits decisions relating to the Company’s Chief Executive Officer, Chief Financial Officer, Chief Operating Officer, General Counsel and Controller. The A&amp;R Stockholders Agreement provides that the approval rights of the Pre-IPO Holders described in this paragraph will not prevent the Company from taking actions that the Company’s board of directors reasonably determines are necessary to comply with its fiduciary duties under Delaware law, in which case the board of directors will provide the Pre-IPO Holders with reasonable notice and opportunity to be heard at a meeting of the board of directors before such actions are authorized, unless the board of directors reasonably determines that doing otherwise is necessary to comply with its fiduciary duties.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A&amp;R Stockholders Agreement also provides that, until the Substantial Ownership Requirement is no longer met, the Pre-IPO Holders may designate nominees for election for a majority of the members of the Company’s board of directors, including the nominee for election to serve as the Chairman of the board of directors; however, it clarifies that such designation right is without prejudice to the rights of the Company’s other common stockholders to designate competing nominees in the manner provided for in the Company’s governing documents. Pursuant to the A&amp;R Stockholders Agreement, the Company’s board of directors has no obligation to endorse or support the nominees designated by the Pre-IPO Holders if the board of directors reasonably determines that declining such endorsement or support would be necessary to comply with its fiduciary duties.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A&amp;R Stockholders Agreement, a copy of which is filed as Exhibit 10.1 hereto and is incorporated by reference herein, does not purport to be complete and is qualified in its entirety by reference to the full text of the A&amp;R Stockholders Agreement.</w:t>
      </w:r>
    </w:p>
    <w:p>
      <w:pPr>
        <w:pStyle w:val="TextBody"/>
        <w:bidi w:val="0"/>
        <w:spacing w:before="0" w:after="0"/>
        <w:ind w:left="0" w:right="0" w:firstLine="367"/>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2"/>
        <w:gridCol w:w="309"/>
        <w:gridCol w:w="310"/>
        <w:gridCol w:w="109"/>
        <w:gridCol w:w="109"/>
        <w:gridCol w:w="109"/>
        <w:gridCol w:w="2599"/>
        <w:gridCol w:w="2599"/>
        <w:gridCol w:w="3709"/>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amendedandrestatedstockhol.htm">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shd w:fill="FFFFFF" w:val="clear"/>
              </w:rPr>
              <w:t xml:space="preserve">Amended and Restated Stockholders Agreement, dated as of July </w:t>
            </w:r>
            <w:r>
              <w:rPr>
                <w:rFonts w:ascii="Times New Roman;serif" w:hAnsi="Times New Roman;serif"/>
                <w:b w:val="false"/>
                <w:color w:val="000000"/>
                <w:sz w:val="20"/>
              </w:rPr>
              <w:t>8, 2026, by and among Goosehead Insurance, Inc. and certain stockholders party thereto.</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cover page of this Current Report on Form 8-K, formatted in Inline XBRL.</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83" w:type="dxa"/>
        <w:jc w:val="left"/>
        <w:tblInd w:w="0" w:type="dxa"/>
        <w:tblLayout w:type="fixed"/>
        <w:tblCellMar>
          <w:top w:w="28" w:type="dxa"/>
          <w:left w:w="28" w:type="dxa"/>
          <w:bottom w:w="28" w:type="dxa"/>
          <w:right w:w="28" w:type="dxa"/>
        </w:tblCellMar>
      </w:tblPr>
      <w:tblGrid>
        <w:gridCol w:w="618"/>
        <w:gridCol w:w="544"/>
        <w:gridCol w:w="547"/>
        <w:gridCol w:w="208"/>
        <w:gridCol w:w="208"/>
        <w:gridCol w:w="213"/>
        <w:gridCol w:w="892"/>
        <w:gridCol w:w="892"/>
        <w:gridCol w:w="126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GOOSEHEAD INSURANCE,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13,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Mark Miller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40" w:after="283"/>
              <w:jc w:val="left"/>
              <w:rPr>
                <w:rFonts w:ascii="Times New Roman;serif" w:hAnsi="Times New Roman;serif"/>
                <w:b w:val="false"/>
                <w:color w:val="000000"/>
                <w:sz w:val="20"/>
              </w:rPr>
            </w:pPr>
            <w:r>
              <w:rPr>
                <w:rFonts w:ascii="Times New Roman;serif" w:hAnsi="Times New Roman;serif"/>
                <w:b w:val="false"/>
                <w:color w:val="000000"/>
                <w:sz w:val="20"/>
              </w:rPr>
              <w:t>Mark Miller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045" w:type="dxa"/>
            <w:gridSpan w:val="3"/>
            <w:tcBorders/>
            <w:tcMar>
              <w:top w:w="0" w:type="dxa"/>
              <w:left w:w="0" w:type="dxa"/>
              <w:bottom w:w="0" w:type="dxa"/>
              <w:right w:w="0" w:type="dxa"/>
            </w:tcMar>
            <w:vAlign w:val="center"/>
          </w:tcPr>
          <w:p>
            <w:pPr>
              <w:pStyle w:val="TableContents"/>
              <w:bidi w:val="0"/>
              <w:spacing w:lineRule="auto" w:line="345"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AMENDED AND RESTATED STOCKHOLDERS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AGREEMENT, dated as of July 8, 2026 among Mark E. Jones, Robyn Jones, The Mark and Robyn Jones Descendants Trust 2014, The Lanni Elaine Romney Family Trust 2014, The Lindy Jean Langston Family Trust 2014, The Camille LaVaun Peterson Family Trust 2014, The Desiree Robyn Coleman Family Trust 2014, The Adrienne Morgan Jones Family Trust 2014, The Mark Evan Jones, Jr. Family Trust 2014, Serena Jones, Lanni Romney, Lindy Langston, Camille Peterson, Desiree Coleman, Adrienne Jones, Mark E. Jones, Jr., and Texas Wasatch Insurance Partners, L.P. (each, together with his, her or its permitted transferees pursuant to Section 8.02(c) of the Amended and Restated Limited Liability Company Agreement of Goosehead Financial, LLC, a “</w:t>
      </w:r>
      <w:r>
        <w:rPr>
          <w:rFonts w:ascii="Times New Roman;serif" w:hAnsi="Times New Roman;serif"/>
          <w:b/>
          <w:color w:val="000000"/>
          <w:sz w:val="24"/>
        </w:rPr>
        <w:t>Holder</w:t>
      </w:r>
      <w:r>
        <w:rPr>
          <w:rFonts w:ascii="Times New Roman;serif" w:hAnsi="Times New Roman;serif"/>
          <w:b w:val="false"/>
          <w:color w:val="000000"/>
          <w:sz w:val="24"/>
        </w:rPr>
        <w:t>,” and together, the “</w:t>
      </w:r>
      <w:r>
        <w:rPr>
          <w:rFonts w:ascii="Times New Roman;serif" w:hAnsi="Times New Roman;serif"/>
          <w:b/>
          <w:color w:val="000000"/>
          <w:sz w:val="24"/>
        </w:rPr>
        <w:t>Holders</w:t>
      </w:r>
      <w:r>
        <w:rPr>
          <w:color w:val="000000"/>
        </w:rPr>
        <w:t>”</w:t>
      </w:r>
      <w:r>
        <w:rPr>
          <w:rFonts w:ascii="Times New Roman;serif" w:hAnsi="Times New Roman;serif"/>
          <w:b w:val="false"/>
          <w:color w:val="000000"/>
          <w:sz w:val="24"/>
        </w:rPr>
        <w:t>) and Goosehead Insurance, Inc. (“</w:t>
      </w:r>
      <w:r>
        <w:rPr>
          <w:rFonts w:ascii="Times New Roman;serif" w:hAnsi="Times New Roman;serif"/>
          <w:b/>
          <w:color w:val="000000"/>
          <w:sz w:val="24"/>
        </w:rPr>
        <w:t>Pubco</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on May 1, 2018, Pubco consummated an initial public offering (the “</w:t>
      </w:r>
      <w:r>
        <w:rPr>
          <w:rFonts w:ascii="Times New Roman;serif" w:hAnsi="Times New Roman;serif"/>
          <w:b/>
          <w:color w:val="000000"/>
          <w:sz w:val="24"/>
        </w:rPr>
        <w:t>IPO</w:t>
      </w:r>
      <w:r>
        <w:rPr>
          <w:color w:val="000000"/>
        </w:rPr>
        <w:t>”</w:t>
      </w:r>
      <w:r>
        <w:rPr>
          <w:rFonts w:ascii="Times New Roman;serif" w:hAnsi="Times New Roman;serif"/>
          <w:b w:val="false"/>
          <w:color w:val="000000"/>
          <w:sz w:val="24"/>
        </w:rPr>
        <w:t>) of its Class A Common Stock, par value $0.01 per share (“</w:t>
      </w:r>
      <w:r>
        <w:rPr>
          <w:rFonts w:ascii="Times New Roman;serif" w:hAnsi="Times New Roman;serif"/>
          <w:b/>
          <w:color w:val="000000"/>
          <w:sz w:val="24"/>
        </w:rPr>
        <w:t>Class A Common Stock</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WHEREAS, in connection with the IPO, Pubco became the managing member of Goosehead Financial, LLC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pursuant to a reorganization agreement, immediately prior to the IPO, the Holders and the other holders of equity in the Company received new units (the “</w:t>
      </w:r>
      <w:r>
        <w:rPr>
          <w:rFonts w:ascii="Times New Roman;serif" w:hAnsi="Times New Roman;serif"/>
          <w:b/>
          <w:color w:val="000000"/>
          <w:sz w:val="24"/>
        </w:rPr>
        <w:t>LLC Units</w:t>
      </w:r>
      <w:r>
        <w:rPr>
          <w:color w:val="000000"/>
        </w:rPr>
        <w:t>”</w:t>
      </w:r>
      <w:r>
        <w:rPr>
          <w:rFonts w:ascii="Times New Roman;serif" w:hAnsi="Times New Roman;serif"/>
          <w:b w:val="false"/>
          <w:color w:val="000000"/>
          <w:sz w:val="24"/>
        </w:rPr>
        <w:t>) in the Company, with the exception of Pubco and its wholly-owned subsidiaries, and an equivalent number of shares of Class B Common Stock, par value $0.01 per share, of Pubco (the “</w:t>
      </w:r>
      <w:r>
        <w:rPr>
          <w:rFonts w:ascii="Times New Roman;serif" w:hAnsi="Times New Roman;serif"/>
          <w:b/>
          <w:color w:val="000000"/>
          <w:sz w:val="24"/>
        </w:rPr>
        <w:t>Class B Common Stock</w:t>
      </w:r>
      <w:r>
        <w:rPr>
          <w:rFonts w:ascii="Times New Roman;serif" w:hAnsi="Times New Roman;serif"/>
          <w:b w:val="false"/>
          <w:color w:val="000000"/>
          <w:sz w:val="24"/>
        </w:rPr>
        <w:t>,” and together with the Class A Common Stock, the “</w:t>
      </w:r>
      <w:r>
        <w:rPr>
          <w:rFonts w:ascii="Times New Roman;serif" w:hAnsi="Times New Roman;serif"/>
          <w:b/>
          <w:color w:val="000000"/>
          <w:sz w:val="24"/>
        </w:rPr>
        <w:t>Common Stock</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Holders desire to effect an agreement that during any period following the completion of the IPO where the Holders meet the Substantial Ownership Requirement (as defined below), approval by the Holders will be required for certain corporate actions and the Holders will have certain designation rights with respect to nominees to the Board of Directors (as defined below).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the parties hereto agree as follows:</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1</w:t>
      </w:r>
    </w:p>
    <w:p>
      <w:pPr>
        <w:pStyle w:val="TextBody"/>
        <w:bidi w:val="0"/>
        <w:spacing w:lineRule="auto" w:line="288" w:before="0" w:after="240"/>
        <w:ind w:left="0" w:right="0" w:firstLine="720"/>
        <w:jc w:val="center"/>
        <w:rPr/>
      </w:pPr>
      <w:r>
        <w:rPr>
          <w:rFonts w:ascii="Times New Roman;serif" w:hAnsi="Times New Roman;serif"/>
          <w:b w:val="false"/>
          <w:color w:val="000000"/>
          <w:sz w:val="24"/>
        </w:rPr>
        <w:t>S</w:t>
      </w:r>
      <w:r>
        <w:rPr>
          <w:rFonts w:ascii="Times New Roman;serif" w:hAnsi="Times New Roman;serif"/>
          <w:b w:val="false"/>
          <w:color w:val="000000"/>
          <w:sz w:val="20"/>
        </w:rPr>
        <w:t>TOCKHOLDER</w:t>
      </w:r>
      <w:r>
        <w:rPr>
          <w:color w:val="000000"/>
        </w:rPr>
        <w:t xml:space="preserve"> </w:t>
      </w:r>
      <w:r>
        <w:rPr>
          <w:rFonts w:ascii="Times New Roman;serif" w:hAnsi="Times New Roman;serif"/>
          <w:b w:val="false"/>
          <w:color w:val="000000"/>
          <w:sz w:val="24"/>
        </w:rPr>
        <w:t>R</w:t>
      </w:r>
      <w:r>
        <w:rPr>
          <w:rFonts w:ascii="Times New Roman;serif" w:hAnsi="Times New Roman;serif"/>
          <w:b w:val="false"/>
          <w:color w:val="000000"/>
          <w:sz w:val="20"/>
        </w:rPr>
        <w:t>IGHTS AND</w:t>
      </w:r>
      <w:r>
        <w:rPr>
          <w:color w:val="000000"/>
        </w:rPr>
        <w:t xml:space="preserve"> </w:t>
      </w:r>
      <w:r>
        <w:rPr>
          <w:rFonts w:ascii="Times New Roman;serif" w:hAnsi="Times New Roman;serif"/>
          <w:b w:val="false"/>
          <w:color w:val="000000"/>
          <w:sz w:val="24"/>
        </w:rPr>
        <w:t>R</w:t>
      </w:r>
      <w:r>
        <w:rPr>
          <w:rFonts w:ascii="Times New Roman;serif" w:hAnsi="Times New Roman;serif"/>
          <w:b w:val="false"/>
          <w:color w:val="000000"/>
          <w:sz w:val="20"/>
        </w:rPr>
        <w:t>ESTRICTIONS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Section 1.1. Approval for Certain Corporate Actions. Until the Substantial Ownership Requirement is no longer met, Pubco shall not permit the occurrence of the following matters relating to Pubco without first receiving the approval of the Holders holding a majority of the shares of Class B Common Stock held by the Holders as evidenced by a written resolution or consent in lieu 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any transaction or series of related transactions resulting in the merger, consolidation or sale of all, or substantially all, of the assets of the Company and its subsidiaries, or any acquisition or disposition of any asset for consideration in excess of 15% of the Total Assets (as defined below) of Pubco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any issuance of equity securities, or any other ownership interests, of Pubco or any of its subsidiaries, other than under any equity incentive plan that has received the prior approval of the Board of Directors, for consideration exceeding $50 million;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any amendments to the certificate of incorporation or any Board of Directors-initiated amendments to the bylaws of Pubco;</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entering into any material new line of business that is not similar, ancillary, complementary or related to, or a reasonable extension, development or expansion of Pubco’s existing business activities;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any change in the size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any compensation or</w:t>
      </w:r>
      <w:r>
        <w:rPr>
          <w:color w:val="000000"/>
        </w:rPr>
        <w:t xml:space="preserve"> </w:t>
      </w:r>
      <w:r>
        <w:rPr>
          <w:rFonts w:ascii="Times New Roman;serif" w:hAnsi="Times New Roman;serif"/>
          <w:b w:val="false"/>
          <w:color w:val="000000"/>
          <w:sz w:val="24"/>
        </w:rPr>
        <w:t>benefits decisions relating to the Chief Executive Officer, Chief Financial Officer, Chief Operating Officer, General Counsel or Controller, including adopting or modifying any plans relating to any incentive securities or employee benefit plans or granting incentive securities or benefits to any such individuals under any existing plans; 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any agreement or commitment with respect to any of the foregoing.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the avoidance of doubt, this Section shall not prevent Pubco from taking any of the actions set forth in any of the foregoing subsections (a)–(g) in the event that the Board of Directors should reasonably determine that permitting such action without first receiving the approval of the Holders holding a majority of the shares of Class B Common Stock held by the Holders is necessary to comply with its fiduciary duties under Delaware law. If the Board of Directors determines to cause Pubco to take any action described in subsections (a)–(g) above without having received the approval contemplated by this Section, it shall provide the Holders with reasonable notice and a reasonable opportunity to be heard at a meeting of the Board of Directors before such action is authorized, unless the Board of Directors reasonably determines that doing otherwise is necessary to comply with its fiduciary duties under Delaware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1.2. </w:t>
      </w:r>
      <w:r>
        <w:rPr>
          <w:rFonts w:ascii="Times New Roman;serif" w:hAnsi="Times New Roman;serif"/>
          <w:b w:val="false"/>
          <w:i/>
          <w:color w:val="000000"/>
          <w:sz w:val="24"/>
        </w:rPr>
        <w:t xml:space="preserve">Composition of the Board. </w:t>
      </w:r>
      <w:r>
        <w:rPr>
          <w:rFonts w:ascii="Times New Roman;serif" w:hAnsi="Times New Roman;serif"/>
          <w:b w:val="false"/>
          <w:color w:val="000000"/>
          <w:sz w:val="24"/>
        </w:rPr>
        <w:t xml:space="preserve">Until the Substantial Ownership Requirement is no longer met, the Holders holding a majority of the shares of Class B Common Stock held by the Holders may, by means of a written resolution or consent in lieu thereof, designate nominees for a majority of the members of the Board of Directors, including the Chair of the Board of Directors, </w:t>
      </w:r>
      <w:r>
        <w:rPr>
          <w:rFonts w:ascii="Times New Roman;serif" w:hAnsi="Times New Roman;serif"/>
          <w:b w:val="false"/>
          <w:i/>
          <w:color w:val="000000"/>
          <w:sz w:val="24"/>
        </w:rPr>
        <w:t>provided however</w:t>
      </w:r>
      <w:r>
        <w:rPr>
          <w:rFonts w:ascii="Times New Roman;serif" w:hAnsi="Times New Roman;serif"/>
          <w:b w:val="false"/>
          <w:color w:val="000000"/>
          <w:sz w:val="24"/>
        </w:rPr>
        <w:t>, that this provision shall be without prejudice to the rights of Pubco’s other common stockholders to designate competing nominees in the manner provided for in Pubco’s governing documents. The Board of Directors shall have no obligation to endorse or support the nominees designated by the Holders if the Board of Directors reasonably determines that declining such endorsement or support would be necessary to comply with its fiduciary duties under Delaware law.</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Section 1.3. Transfers. No Holder shall sell, transfer or otherwise dispose of Class B Common Stock, except for transfers (i) pursuant to a Disposition Event (as such term is defined in the certificate of incorporation of Pubco) pursuant to Section 8.02(a) of the Amended and Restated Limited Liability Company Agreement of the Company; (ii) as approved in writing pursuant to Section 8.02(b) of the Amended and Restated Limited Liability Company Agreement of the Company or (iii) to a permitted transferee pursuant to Section 8.02(c) of the Amended and Restated Limited Liability Company Agreement of the Company.</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2</w:t>
      </w:r>
    </w:p>
    <w:p>
      <w:pPr>
        <w:pStyle w:val="TextBody"/>
        <w:bidi w:val="0"/>
        <w:spacing w:lineRule="auto" w:line="288" w:before="0" w:after="240"/>
        <w:ind w:left="0" w:right="0" w:firstLine="720"/>
        <w:jc w:val="center"/>
        <w:rPr/>
      </w:pPr>
      <w:r>
        <w:rPr>
          <w:rFonts w:ascii="Times New Roman;serif" w:hAnsi="Times New Roman;serif"/>
          <w:b w:val="false"/>
          <w:color w:val="000000"/>
          <w:sz w:val="24"/>
        </w:rPr>
        <w:t>R</w:t>
      </w:r>
      <w:r>
        <w:rPr>
          <w:rFonts w:ascii="Times New Roman;serif" w:hAnsi="Times New Roman;serif"/>
          <w:b w:val="false"/>
          <w:color w:val="000000"/>
          <w:sz w:val="20"/>
        </w:rPr>
        <w:t>EPRESENTATIONS AND</w:t>
      </w:r>
      <w:r>
        <w:rPr>
          <w:color w:val="000000"/>
        </w:rPr>
        <w:t xml:space="preserve"> </w:t>
      </w:r>
      <w:r>
        <w:rPr>
          <w:rFonts w:ascii="Times New Roman;serif" w:hAnsi="Times New Roman;serif"/>
          <w:b w:val="false"/>
          <w:color w:val="000000"/>
          <w:sz w:val="24"/>
        </w:rPr>
        <w:t>W</w:t>
      </w:r>
      <w:r>
        <w:rPr>
          <w:rFonts w:ascii="Times New Roman;serif" w:hAnsi="Times New Roman;serif"/>
          <w:b w:val="false"/>
          <w:color w:val="000000"/>
          <w:sz w:val="20"/>
        </w:rPr>
        <w:t>ARRANTIES OF THE</w:t>
      </w:r>
      <w:r>
        <w:rPr>
          <w:color w:val="000000"/>
        </w:rPr>
        <w:t xml:space="preserve"> </w:t>
      </w:r>
      <w:r>
        <w:rPr>
          <w:rFonts w:ascii="Times New Roman;serif" w:hAnsi="Times New Roman;serif"/>
          <w:b w:val="false"/>
          <w:color w:val="000000"/>
          <w:sz w:val="24"/>
        </w:rPr>
        <w:t>H</w:t>
      </w:r>
      <w:r>
        <w:rPr>
          <w:rFonts w:ascii="Times New Roman;serif" w:hAnsi="Times New Roman;serif"/>
          <w:b w:val="false"/>
          <w:color w:val="000000"/>
          <w:sz w:val="20"/>
        </w:rPr>
        <w:t>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2.1. </w:t>
      </w:r>
      <w:r>
        <w:rPr>
          <w:rFonts w:ascii="Times New Roman;serif" w:hAnsi="Times New Roman;serif"/>
          <w:b w:val="false"/>
          <w:i/>
          <w:color w:val="000000"/>
          <w:sz w:val="24"/>
        </w:rPr>
        <w:t>Corporation Authorization</w:t>
      </w:r>
      <w:r>
        <w:rPr>
          <w:rFonts w:ascii="Times New Roman;serif" w:hAnsi="Times New Roman;serif"/>
          <w:b w:val="false"/>
          <w:color w:val="000000"/>
          <w:sz w:val="24"/>
        </w:rPr>
        <w:t>. Each Holder that is not a natural person represents and warrants to each of the other Holders and Pubco that such Holder is validly organized and existing under the laws of its state of organization and has all requisite power and authority to execute and deliver this Agreement, to perform fully its obligations hereunder and to consummate the transactions contemplated hereby, and that this Agreement constitutes the valid and binding agreement of such Holder.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2.2. </w:t>
      </w:r>
      <w:r>
        <w:rPr>
          <w:rFonts w:ascii="Times New Roman;serif" w:hAnsi="Times New Roman;serif"/>
          <w:b w:val="false"/>
          <w:i/>
          <w:color w:val="000000"/>
          <w:sz w:val="24"/>
        </w:rPr>
        <w:t>Non-Contravention</w:t>
      </w:r>
      <w:r>
        <w:rPr>
          <w:rFonts w:ascii="Times New Roman;serif" w:hAnsi="Times New Roman;serif"/>
          <w:b w:val="false"/>
          <w:color w:val="000000"/>
          <w:sz w:val="24"/>
        </w:rPr>
        <w:t>. Each Holder represents and warrants to each of the other Holders and Pubco that the execution, delivery and performance by such Holder of this Agreement and the consummation of the transactions contemplated hereby do not and will not (i) if such Holder is not a natural person, contravene or conflict with, or constitute a violation of, any organizational documents of such Holder; (ii) contravene or conflict with, or constitute a violation of, any material applicable law or any material agreement or order binding on such Holder; or (iii) result in the imposition of any Lien (as defined below) on any asset of such Holder.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2.3. </w:t>
      </w:r>
      <w:r>
        <w:rPr>
          <w:rFonts w:ascii="Times New Roman;serif" w:hAnsi="Times New Roman;serif"/>
          <w:b w:val="false"/>
          <w:i/>
          <w:color w:val="000000"/>
          <w:sz w:val="24"/>
        </w:rPr>
        <w:t xml:space="preserve">Ownership of Shares of Common Stock. </w:t>
      </w:r>
      <w:r>
        <w:rPr>
          <w:rFonts w:ascii="Times New Roman;serif" w:hAnsi="Times New Roman;serif"/>
          <w:b w:val="false"/>
          <w:color w:val="000000"/>
          <w:sz w:val="24"/>
        </w:rPr>
        <w:t>Each Holder represents and warrants to each of the other Holders and Pubco that such Holder is the record and beneficial owner of all of the shares of Common Stock owned by them on the date hereof, and that the shares of Common Stock owned by them on the date hereof are owned free of any and all liens, charges, security interests, options, claims, mortgages, pledges, proxies, voting trusts or agreements, obligations, understandings or arrangements or other restrictions on title or transfer of any nature whatsoever (collectively, “</w:t>
      </w:r>
      <w:r>
        <w:rPr>
          <w:rFonts w:ascii="Times New Roman;serif" w:hAnsi="Times New Roman;serif"/>
          <w:b/>
          <w:color w:val="000000"/>
          <w:sz w:val="24"/>
        </w:rPr>
        <w:t>Liens</w:t>
      </w:r>
      <w:r>
        <w:rPr>
          <w:color w:val="000000"/>
        </w:rPr>
        <w:t>”</w:t>
      </w:r>
      <w:r>
        <w:rPr>
          <w:rFonts w:ascii="Times New Roman;serif" w:hAnsi="Times New Roman;serif"/>
          <w:b w:val="false"/>
          <w:color w:val="000000"/>
          <w:sz w:val="24"/>
        </w:rPr>
        <w:t>) and any other limitation or restriction (including any restriction on the right to vote or otherwise dispose of the shares of Common Stock), other than transfer restrictions under applicable securities laws. None of the shares of Common Stock is subject to any voting trust or other agreement or arrangement with respect to the voting of such shares of Common Stock.</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3</w:t>
      </w:r>
    </w:p>
    <w:p>
      <w:pPr>
        <w:pStyle w:val="TextBody"/>
        <w:bidi w:val="0"/>
        <w:spacing w:lineRule="auto" w:line="288" w:before="0" w:after="240"/>
        <w:ind w:left="0" w:right="0" w:firstLine="720"/>
        <w:jc w:val="center"/>
        <w:rPr/>
      </w:pPr>
      <w:r>
        <w:rPr>
          <w:rFonts w:ascii="Times New Roman;serif" w:hAnsi="Times New Roman;serif"/>
          <w:b w:val="false"/>
          <w:color w:val="000000"/>
          <w:sz w:val="24"/>
        </w:rPr>
        <w:t>R</w:t>
      </w:r>
      <w:r>
        <w:rPr>
          <w:rFonts w:ascii="Times New Roman;serif" w:hAnsi="Times New Roman;serif"/>
          <w:b w:val="false"/>
          <w:color w:val="000000"/>
          <w:sz w:val="20"/>
        </w:rPr>
        <w:t>EPRESENTATIONS AND</w:t>
      </w:r>
      <w:r>
        <w:rPr>
          <w:color w:val="000000"/>
        </w:rPr>
        <w:t xml:space="preserve"> </w:t>
      </w:r>
      <w:r>
        <w:rPr>
          <w:rFonts w:ascii="Times New Roman;serif" w:hAnsi="Times New Roman;serif"/>
          <w:b w:val="false"/>
          <w:color w:val="000000"/>
          <w:sz w:val="24"/>
        </w:rPr>
        <w:t>W</w:t>
      </w:r>
      <w:r>
        <w:rPr>
          <w:rFonts w:ascii="Times New Roman;serif" w:hAnsi="Times New Roman;serif"/>
          <w:b w:val="false"/>
          <w:color w:val="000000"/>
          <w:sz w:val="20"/>
        </w:rPr>
        <w:t xml:space="preserve">ARRANTIES OF </w:t>
      </w:r>
      <w:r>
        <w:rPr>
          <w:rFonts w:ascii="Times New Roman;serif" w:hAnsi="Times New Roman;serif"/>
          <w:b w:val="false"/>
          <w:color w:val="000000"/>
          <w:sz w:val="24"/>
        </w:rPr>
        <w:t>P</w:t>
      </w:r>
      <w:r>
        <w:rPr>
          <w:rFonts w:ascii="Times New Roman;serif" w:hAnsi="Times New Roman;serif"/>
          <w:b w:val="false"/>
          <w:color w:val="000000"/>
          <w:sz w:val="20"/>
        </w:rPr>
        <w:t>UBCO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Pubco represents and warrants to each Holder that: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3.1. </w:t>
      </w:r>
      <w:r>
        <w:rPr>
          <w:rFonts w:ascii="Times New Roman;serif" w:hAnsi="Times New Roman;serif"/>
          <w:b w:val="false"/>
          <w:i/>
          <w:color w:val="000000"/>
          <w:sz w:val="24"/>
        </w:rPr>
        <w:t>Corporation Authorization.</w:t>
      </w:r>
      <w:r>
        <w:rPr>
          <w:color w:val="000000"/>
        </w:rPr>
        <w:t xml:space="preserve"> </w:t>
      </w:r>
      <w:r>
        <w:rPr>
          <w:rFonts w:ascii="Times New Roman;serif" w:hAnsi="Times New Roman;serif"/>
          <w:b w:val="false"/>
          <w:color w:val="000000"/>
          <w:sz w:val="24"/>
        </w:rPr>
        <w:t>Pubco has been duly incorporated and is validly existing under the laws of its state of incorporation and has all requisite corporate power and authority to execute and deliver this Agreement, to perform fully its obligations hereunder and to consummate the transactions contemplated hereby. This Agreement constitutes the valid and binding agreement of Pubco.</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3.2. </w:t>
      </w:r>
      <w:r>
        <w:rPr>
          <w:rFonts w:ascii="Times New Roman;serif" w:hAnsi="Times New Roman;serif"/>
          <w:b w:val="false"/>
          <w:i/>
          <w:color w:val="000000"/>
          <w:sz w:val="24"/>
        </w:rPr>
        <w:t>Non-Contravention</w:t>
      </w:r>
      <w:r>
        <w:rPr>
          <w:rFonts w:ascii="Times New Roman;serif" w:hAnsi="Times New Roman;serif"/>
          <w:b w:val="false"/>
          <w:color w:val="000000"/>
          <w:sz w:val="24"/>
        </w:rPr>
        <w:t>. The execution, delivery and performance by Pubco of this Agreement and the consummation of the transactions contemplated hereby do not and will not (i) contravene or conflict with, or constitute a violation of, the organizational documents of Pubco; (ii) contravene or conflict with, or constitute a violation of, any material applicable law or any material agreement or order binding on Pubco; or (iii) result in the imposition of any Lien on any asset of Pubco.</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4</w:t>
      </w:r>
    </w:p>
    <w:p>
      <w:pPr>
        <w:pStyle w:val="TextBody"/>
        <w:bidi w:val="0"/>
        <w:spacing w:lineRule="auto" w:line="288" w:before="0" w:after="240"/>
        <w:ind w:left="0" w:right="0" w:firstLine="720"/>
        <w:jc w:val="center"/>
        <w:rPr/>
      </w:pPr>
      <w:r>
        <w:rPr>
          <w:rFonts w:ascii="Times New Roman;serif" w:hAnsi="Times New Roman;serif"/>
          <w:b w:val="false"/>
          <w:color w:val="000000"/>
          <w:sz w:val="24"/>
        </w:rPr>
        <w:t>M</w:t>
      </w:r>
      <w:r>
        <w:rPr>
          <w:rFonts w:ascii="Times New Roman;serif" w:hAnsi="Times New Roman;serif"/>
          <w:b w:val="false"/>
          <w:color w:val="000000"/>
          <w:sz w:val="20"/>
        </w:rPr>
        <w:t>ISCELLANEOUS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4.1. </w:t>
      </w:r>
      <w:r>
        <w:rPr>
          <w:rFonts w:ascii="Times New Roman;serif" w:hAnsi="Times New Roman;serif"/>
          <w:b w:val="false"/>
          <w:i/>
          <w:color w:val="000000"/>
          <w:sz w:val="24"/>
        </w:rPr>
        <w:t xml:space="preserve">Other Definitional and Interpretative Provisions. </w:t>
      </w:r>
      <w:r>
        <w:rPr>
          <w:rFonts w:ascii="Times New Roman;serif" w:hAnsi="Times New Roman;serif"/>
          <w:b w:val="false"/>
          <w:color w:val="000000"/>
          <w:sz w:val="24"/>
        </w:rPr>
        <w:t>Unless specified otherwise, in this Agreement the obligations of any party consisting of more than one person are joint and several.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(as defined below) include the successors and permitted assigns of that Person. References from or through any date mean, unless otherwise specified, from and including or through and including, respectively.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4.2. </w:t>
      </w:r>
      <w:r>
        <w:rPr>
          <w:rFonts w:ascii="Times New Roman;serif" w:hAnsi="Times New Roman;serif"/>
          <w:b w:val="false"/>
          <w:i/>
          <w:color w:val="000000"/>
          <w:sz w:val="24"/>
        </w:rPr>
        <w:t>Additional Definitions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color w:val="000000"/>
          <w:sz w:val="24"/>
        </w:rPr>
        <w:t>Board of Directors</w:t>
      </w:r>
      <w:r>
        <w:rPr>
          <w:color w:val="000000"/>
        </w:rPr>
        <w:t xml:space="preserve">” </w:t>
      </w:r>
      <w:r>
        <w:rPr>
          <w:rFonts w:ascii="Times New Roman;serif" w:hAnsi="Times New Roman;serif"/>
          <w:b w:val="false"/>
          <w:color w:val="000000"/>
          <w:sz w:val="24"/>
        </w:rPr>
        <w:t>means the Board of Directors of Pubco.</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color w:val="000000"/>
          <w:sz w:val="24"/>
        </w:rPr>
        <w:t>Organization</w:t>
      </w:r>
      <w:r>
        <w:rPr>
          <w:color w:val="000000"/>
        </w:rPr>
        <w:t xml:space="preserve">” </w:t>
      </w:r>
      <w:r>
        <w:rPr>
          <w:rFonts w:ascii="Times New Roman;serif" w:hAnsi="Times New Roman;serif"/>
          <w:b w:val="false"/>
          <w:color w:val="000000"/>
          <w:sz w:val="24"/>
        </w:rPr>
        <w:t xml:space="preserve">means any corporation, partnership, joint venture or enterprise, limited liability company, unincorporated association, trust, estate,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governmental entity or other entity or organization, and shall include the successor (by merger or otherwise) of any entity or organization.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(c)    “</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any natural person or Organization.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(d)    “</w:t>
      </w:r>
      <w:r>
        <w:rPr>
          <w:rFonts w:ascii="Times New Roman;serif" w:hAnsi="Times New Roman;serif"/>
          <w:b/>
          <w:color w:val="000000"/>
          <w:sz w:val="24"/>
        </w:rPr>
        <w:t>Substantial Ownership Requirement</w:t>
      </w:r>
      <w:r>
        <w:rPr>
          <w:color w:val="000000"/>
        </w:rPr>
        <w:t xml:space="preserve">” </w:t>
      </w:r>
      <w:r>
        <w:rPr>
          <w:rFonts w:ascii="Times New Roman;serif" w:hAnsi="Times New Roman;serif"/>
          <w:b w:val="false"/>
          <w:color w:val="000000"/>
          <w:sz w:val="24"/>
        </w:rPr>
        <w:t>means the beneficial ownership (as such term is defined in Rule 13d-3 and Rule 13d-5 under the Exchange Act) by the Holders collectively, of shares of Common Stock representing at least ten percent (10%) of the issued and outstanding shares of Common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(e)    “</w:t>
      </w:r>
      <w:r>
        <w:rPr>
          <w:rFonts w:ascii="Times New Roman;serif" w:hAnsi="Times New Roman;serif"/>
          <w:b/>
          <w:color w:val="000000"/>
          <w:sz w:val="24"/>
        </w:rPr>
        <w:t>Total Assets</w:t>
      </w:r>
      <w:r>
        <w:rPr>
          <w:color w:val="000000"/>
        </w:rPr>
        <w:t xml:space="preserve">” </w:t>
      </w:r>
      <w:r>
        <w:rPr>
          <w:rFonts w:ascii="Times New Roman;serif" w:hAnsi="Times New Roman;serif"/>
          <w:b w:val="false"/>
          <w:color w:val="000000"/>
          <w:sz w:val="24"/>
        </w:rPr>
        <w:t>of any Person means the consolidated total assets of such Person and its subsidiaries, as determined in accordance with U.S. generally accepted accounting principles, as shown on such Person’s most recent balance sheet.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4.3. </w:t>
      </w:r>
      <w:r>
        <w:rPr>
          <w:rFonts w:ascii="Times New Roman;serif" w:hAnsi="Times New Roman;serif"/>
          <w:b w:val="false"/>
          <w:i/>
          <w:color w:val="000000"/>
          <w:sz w:val="24"/>
        </w:rPr>
        <w:t>Further Assurances</w:t>
      </w:r>
      <w:r>
        <w:rPr>
          <w:rFonts w:ascii="Times New Roman;serif" w:hAnsi="Times New Roman;serif"/>
          <w:b w:val="false"/>
          <w:color w:val="000000"/>
          <w:sz w:val="24"/>
        </w:rPr>
        <w:t>. Each party to this Agreement, at any time and from time to time upon the reasonable request of another party to this Agreement, shall promptly execute and deliver, or cause to be executed and delivered, all such further instruments and take all such further actions as may be reasonably necessary or appropriate to confirm or carry out the purposes and intent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4.4. </w:t>
      </w:r>
      <w:r>
        <w:rPr>
          <w:rFonts w:ascii="Times New Roman;serif" w:hAnsi="Times New Roman;serif"/>
          <w:b w:val="false"/>
          <w:i/>
          <w:color w:val="000000"/>
          <w:sz w:val="24"/>
        </w:rPr>
        <w:t>Expenses</w:t>
      </w:r>
      <w:r>
        <w:rPr>
          <w:rFonts w:ascii="Times New Roman;serif" w:hAnsi="Times New Roman;serif"/>
          <w:b w:val="false"/>
          <w:color w:val="000000"/>
          <w:sz w:val="24"/>
        </w:rPr>
        <w:t>. All costs and expenses incurred in connection with this Agreement shall be paid by the party incurring such cost or expense.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4.5. </w:t>
      </w:r>
      <w:r>
        <w:rPr>
          <w:rFonts w:ascii="Times New Roman;serif" w:hAnsi="Times New Roman;serif"/>
          <w:b w:val="false"/>
          <w:i/>
          <w:color w:val="000000"/>
          <w:sz w:val="24"/>
        </w:rPr>
        <w:t>Assignment</w:t>
      </w:r>
      <w:r>
        <w:rPr>
          <w:rFonts w:ascii="Times New Roman;serif" w:hAnsi="Times New Roman;serif"/>
          <w:b w:val="false"/>
          <w:color w:val="000000"/>
          <w:sz w:val="24"/>
        </w:rPr>
        <w:t xml:space="preserve">. The provisions of this Agreement shall be binding upon and inure to the benefit of the parties hereto and their respective successors and assigns;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no party may assign, delegate or otherwise transfer any of its rights or obligations under this Agreement without the consent of the other parties hereto, other than a transfer to (i) in the case of any Holder that is not a natural person, any Person that is an affiliate of such Holder, and (ii) in the case of any Holder that is a natural person, (A) any Person to whom Class B Common Stock are Transferred from such Holder (1) by will or the laws of descent and distribution or (2) by gift without consideration of any kind;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clause (2), such transferee is the spouse, the lineal descendant, sibling, parent, heir, executor, administrator, testamentary trustee, legatee or beneficiary of such Holder, (B) a trust that is for the exclusive benefit of such Holder or its permitted transferees under (A) above or (C) any institution qualified as tax-exempt under Section 501(c)(3) of the Code.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4.6. </w:t>
      </w:r>
      <w:r>
        <w:rPr>
          <w:rFonts w:ascii="Times New Roman;serif" w:hAnsi="Times New Roman;serif"/>
          <w:b w:val="false"/>
          <w:i/>
          <w:color w:val="000000"/>
          <w:sz w:val="24"/>
        </w:rPr>
        <w:t>Governing Law</w:t>
      </w:r>
      <w:r>
        <w:rPr>
          <w:rFonts w:ascii="Times New Roman;serif" w:hAnsi="Times New Roman;serif"/>
          <w:b w:val="false"/>
          <w:color w:val="000000"/>
          <w:sz w:val="24"/>
        </w:rPr>
        <w:t>. This Agreement shall be governed by, construed and enforced in accordance with the law of the State of Delaware, without regard to the conflicts of law rules of such state.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4.7. </w:t>
      </w:r>
      <w:r>
        <w:rPr>
          <w:rFonts w:ascii="Times New Roman;serif" w:hAnsi="Times New Roman;serif"/>
          <w:b w:val="false"/>
          <w:i/>
          <w:color w:val="000000"/>
          <w:sz w:val="24"/>
        </w:rPr>
        <w:t xml:space="preserve">Consent to Jurisdiction. </w:t>
      </w:r>
      <w:r>
        <w:rPr>
          <w:rFonts w:ascii="Times New Roman;serif" w:hAnsi="Times New Roman;serif"/>
          <w:b w:val="false"/>
          <w:color w:val="000000"/>
          <w:sz w:val="24"/>
        </w:rPr>
        <w:t xml:space="preserve">The parties hereto agree that any suit, action or proceeding seeking to enforce any provision of, or based on any matter arising out of or in connection with, this Agreement or the transactions contemplated hereby shall be brought in the Delaware Chancery Court, and that any cause of action arising out of this Agreement shall be deemed to have arisen from a transaction of business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State of Delaware,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4.8. </w:t>
      </w:r>
      <w:r>
        <w:rPr>
          <w:rFonts w:ascii="Times New Roman;serif" w:hAnsi="Times New Roman;serif"/>
          <w:b w:val="false"/>
          <w:i/>
          <w:color w:val="000000"/>
          <w:sz w:val="24"/>
        </w:rPr>
        <w:t>WAIVER OF JURY TRIAL</w:t>
      </w:r>
      <w:r>
        <w:rPr>
          <w:rFonts w:ascii="Times New Roman;serif" w:hAnsi="Times New Roman;serif"/>
          <w:b w:val="false"/>
          <w:color w:val="000000"/>
          <w:sz w:val="24"/>
        </w:rPr>
        <w:t>. EACH OF THE PARTIES HERETO HEREBY IRREVOCABLY WAIVES ANY AND ALL RIGHT TO TRIAL BY JURY IN ANY LEGAL PROCEEDING ARISING OUT OF OR RELATED TO THIS AGREEMENT OR THE TRANSACTIONS CONTEMPLATED HEREBY.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4.9. </w:t>
      </w:r>
      <w:r>
        <w:rPr>
          <w:rFonts w:ascii="Times New Roman;serif" w:hAnsi="Times New Roman;serif"/>
          <w:b w:val="false"/>
          <w:i/>
          <w:color w:val="000000"/>
          <w:sz w:val="24"/>
        </w:rPr>
        <w:t>Severability</w:t>
      </w:r>
      <w:r>
        <w:rPr>
          <w:rFonts w:ascii="Times New Roman;serif" w:hAnsi="Times New Roman;serif"/>
          <w:b w:val="false"/>
          <w:color w:val="000000"/>
          <w:sz w:val="24"/>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entity or any circumstance, is found to be invalid or unenforceable in any jurisdiction,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entities or circumstances shall not be affected by such invalidity or unenforceability, nor shall such invalidity or unenforceability affect the validity or enforceability of such provision, or the application thereof, in any other jurisdiction.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4.10. </w:t>
      </w:r>
      <w:r>
        <w:rPr>
          <w:rFonts w:ascii="Times New Roman;serif" w:hAnsi="Times New Roman;serif"/>
          <w:b w:val="false"/>
          <w:i/>
          <w:color w:val="000000"/>
          <w:sz w:val="24"/>
        </w:rPr>
        <w:t>Counterparts</w:t>
      </w:r>
      <w:r>
        <w:rPr>
          <w:rFonts w:ascii="Times New Roman;serif" w:hAnsi="Times New Roman;serif"/>
          <w:b w:val="false"/>
          <w:color w:val="000000"/>
          <w:sz w:val="24"/>
        </w:rPr>
        <w:t>. This Agreement may be executed (including by facsimile transmission) with counterpart pages or in one or more counterparts, each of which shall be deemed an original and all of which shall, taken together, be considered one and the same agreement, it being understood that both parties need not sign the same counterpart.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4.11. </w:t>
      </w:r>
      <w:r>
        <w:rPr>
          <w:rFonts w:ascii="Times New Roman;serif" w:hAnsi="Times New Roman;serif"/>
          <w:b w:val="false"/>
          <w:i/>
          <w:color w:val="000000"/>
          <w:sz w:val="24"/>
        </w:rPr>
        <w:t>Entire Agreement</w:t>
      </w:r>
      <w:r>
        <w:rPr>
          <w:rFonts w:ascii="Times New Roman;serif" w:hAnsi="Times New Roman;serif"/>
          <w:b w:val="false"/>
          <w:color w:val="000000"/>
          <w:sz w:val="24"/>
        </w:rPr>
        <w:t>. This Agreement constitutes the entire agreement and understanding among the parties hereto and supersedes all prior and contemporaneous agreements and understanding, both oral and written, among the parties hereto with respect to the subject matter 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4.12. </w:t>
      </w:r>
      <w:r>
        <w:rPr>
          <w:rFonts w:ascii="Times New Roman;serif" w:hAnsi="Times New Roman;serif"/>
          <w:b w:val="false"/>
          <w:i/>
          <w:color w:val="000000"/>
          <w:sz w:val="24"/>
        </w:rPr>
        <w:t xml:space="preserve">Amendments; Waiver. </w:t>
      </w:r>
      <w:r>
        <w:rPr>
          <w:rFonts w:ascii="Times New Roman;serif" w:hAnsi="Times New Roman;serif"/>
          <w:b w:val="false"/>
          <w:color w:val="000000"/>
          <w:sz w:val="24"/>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4.13. </w:t>
      </w:r>
      <w:r>
        <w:rPr>
          <w:rFonts w:ascii="Times New Roman;serif" w:hAnsi="Times New Roman;serif"/>
          <w:b w:val="false"/>
          <w:i/>
          <w:color w:val="000000"/>
          <w:sz w:val="24"/>
        </w:rPr>
        <w:t>Specific Performance</w:t>
      </w:r>
      <w:r>
        <w:rPr>
          <w:rFonts w:ascii="Times New Roman;serif" w:hAnsi="Times New Roman;serif"/>
          <w:b w:val="false"/>
          <w:color w:val="000000"/>
          <w:sz w:val="24"/>
        </w:rPr>
        <w:t xml:space="preserve">. The parties hereto agree that irreparable damage would occur in the event any provision of this Agreement is not performed in accordance with the terms hereof and that the parties shall be entitled to specific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performance of the terms hereof in addition to any other remedy to which they are entitled at law or in equity.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Section 4.14. </w:t>
      </w:r>
      <w:r>
        <w:rPr>
          <w:rFonts w:ascii="Times New Roman;serif" w:hAnsi="Times New Roman;serif"/>
          <w:b w:val="false"/>
          <w:i/>
          <w:color w:val="000000"/>
          <w:sz w:val="24"/>
        </w:rPr>
        <w:t>IPO Closing; Termination</w:t>
      </w:r>
      <w:r>
        <w:rPr>
          <w:rFonts w:ascii="Times New Roman;serif" w:hAnsi="Times New Roman;serif"/>
          <w:b w:val="false"/>
          <w:color w:val="000000"/>
          <w:sz w:val="24"/>
        </w:rPr>
        <w:t>. This Agreement will automatically terminate and be of no force and effect if the closing of the IPO does not occur on or before May 1, 2018. This agreement will automatically terminate and be of no force and effect when the Substantial Ownership Requirement is no longer met.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pStyle w:val="TextBody"/>
        <w:bidi w:val="0"/>
        <w:spacing w:before="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WITNESS WHEREOF, the undersigned has duly executed this Amended and Restated Stockholders Agreement as of the date set forth below.</w:t>
      </w:r>
    </w:p>
    <w:p>
      <w:pPr>
        <w:pStyle w:val="TextBody"/>
        <w:bidi w:val="0"/>
        <w:spacing w:before="0" w:after="240"/>
        <w:ind w:left="0" w:right="0" w:firstLine="720"/>
        <w:jc w:val="both"/>
        <w:rPr/>
      </w:pPr>
      <w:r>
        <w:rPr/>
      </w:r>
    </w:p>
    <w:tbl>
      <w:tblPr>
        <w:tblW w:w="9958" w:type="dxa"/>
        <w:jc w:val="left"/>
        <w:tblInd w:w="0" w:type="dxa"/>
        <w:tblLayout w:type="fixed"/>
        <w:tblCellMar>
          <w:top w:w="28" w:type="dxa"/>
          <w:left w:w="28" w:type="dxa"/>
          <w:bottom w:w="28" w:type="dxa"/>
          <w:right w:w="28" w:type="dxa"/>
        </w:tblCellMar>
      </w:tblPr>
      <w:tblGrid>
        <w:gridCol w:w="1853"/>
        <w:gridCol w:w="1627"/>
        <w:gridCol w:w="1634"/>
        <w:gridCol w:w="1414"/>
        <w:gridCol w:w="1414"/>
        <w:gridCol w:w="2016"/>
      </w:tblGrid>
      <w:tr>
        <w:trPr/>
        <w:tc>
          <w:tcPr>
            <w:tcW w:w="185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u w:val="single"/>
              </w:rPr>
              <w:t>/s/ Mark E. Jones</w:t>
            </w:r>
            <w:r>
              <w:rPr>
                <w:color w:val="000000"/>
              </w:rPr>
              <w:t xml:space="preserve"> </w:t>
            </w:r>
            <w:r>
              <w:rPr>
                <w:rFonts w:ascii="Times New Roman;serif" w:hAnsi="Times New Roman;serif"/>
                <w:b w:val="false"/>
                <w:color w:val="000000"/>
                <w:sz w:val="24"/>
              </w:rPr>
              <w:br/>
              <w:t>Name: Mark E. Jones</w:t>
              <w:br/>
              <w:t>Date: July 8, 2026</w:t>
            </w:r>
          </w:p>
        </w:tc>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u w:val="single"/>
              </w:rPr>
              <w:t>/s/ Robyn Jones</w:t>
            </w:r>
            <w:r>
              <w:rPr>
                <w:rFonts w:ascii="Times New Roman;serif" w:hAnsi="Times New Roman;serif"/>
                <w:b w:val="false"/>
                <w:color w:val="000000"/>
                <w:sz w:val="24"/>
              </w:rPr>
              <w:br/>
              <w:t>Name: Robyn Jones</w:t>
              <w:br/>
              <w:t>Date: July 8, 2026</w:t>
            </w:r>
          </w:p>
        </w:tc>
      </w:tr>
      <w:tr>
        <w:trPr/>
        <w:tc>
          <w:tcPr>
            <w:tcW w:w="511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rPr>
              <w:t>The Mark and Robyn Jones Descendants Trust 2014</w:t>
              <w:br/>
              <w:br/>
            </w:r>
            <w:r>
              <w:rPr>
                <w:rFonts w:ascii="Times New Roman;serif" w:hAnsi="Times New Roman;serif"/>
                <w:b w:val="false"/>
                <w:color w:val="000000"/>
                <w:sz w:val="24"/>
                <w:u w:val="single"/>
              </w:rPr>
              <w:t>/s/ Mark E. Jones</w:t>
            </w:r>
            <w:r>
              <w:rPr>
                <w:rFonts w:ascii="Times New Roman;serif" w:hAnsi="Times New Roman;serif"/>
                <w:b w:val="false"/>
                <w:color w:val="000000"/>
                <w:sz w:val="24"/>
              </w:rPr>
              <w:br/>
              <w:t>Name: Mark E. Jones</w:t>
              <w:br/>
              <w:t>Title: Trustee</w:t>
              <w:br/>
              <w:t>Date: July 8, 2026</w:t>
            </w:r>
          </w:p>
        </w:tc>
        <w:tc>
          <w:tcPr>
            <w:tcW w:w="48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rPr>
              <w:t>The Lanni Elaine Romney Family Trust 2014</w:t>
              <w:br/>
              <w:br/>
            </w:r>
            <w:r>
              <w:rPr>
                <w:rFonts w:ascii="Times New Roman;serif" w:hAnsi="Times New Roman;serif"/>
                <w:b w:val="false"/>
                <w:color w:val="000000"/>
                <w:sz w:val="24"/>
                <w:u w:val="single"/>
              </w:rPr>
              <w:t>/s/ Mark E. Jones</w:t>
            </w:r>
            <w:r>
              <w:rPr>
                <w:rFonts w:ascii="Times New Roman;serif" w:hAnsi="Times New Roman;serif"/>
                <w:b w:val="false"/>
                <w:color w:val="000000"/>
                <w:sz w:val="24"/>
              </w:rPr>
              <w:br/>
              <w:t>Name: Mark E. Jones</w:t>
              <w:br/>
              <w:t>Title: Trustee</w:t>
              <w:br/>
              <w:t>Date: July 8, 2026</w:t>
            </w:r>
          </w:p>
        </w:tc>
      </w:tr>
      <w:tr>
        <w:trPr/>
        <w:tc>
          <w:tcPr>
            <w:tcW w:w="511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rPr>
              <w:t>The Lindy Jean Langston Family Trust 2014</w:t>
              <w:br/>
              <w:br/>
            </w:r>
            <w:r>
              <w:rPr>
                <w:rFonts w:ascii="Times New Roman;serif" w:hAnsi="Times New Roman;serif"/>
                <w:b w:val="false"/>
                <w:color w:val="000000"/>
                <w:sz w:val="24"/>
                <w:u w:val="single"/>
              </w:rPr>
              <w:t>/s/ Mark E. Jones</w:t>
            </w:r>
            <w:r>
              <w:rPr>
                <w:rFonts w:ascii="Times New Roman;serif" w:hAnsi="Times New Roman;serif"/>
                <w:b w:val="false"/>
                <w:color w:val="000000"/>
                <w:sz w:val="24"/>
              </w:rPr>
              <w:br/>
              <w:t>Name: Mark E. Jones</w:t>
              <w:br/>
              <w:t>Title: Trustee</w:t>
              <w:br/>
              <w:t>Date: July 8, 2026</w:t>
            </w:r>
          </w:p>
        </w:tc>
        <w:tc>
          <w:tcPr>
            <w:tcW w:w="48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rPr>
              <w:t>The Camille LaVaun Peterson Family Trust 2014</w:t>
              <w:br/>
              <w:br/>
            </w:r>
            <w:r>
              <w:rPr>
                <w:rFonts w:ascii="Times New Roman;serif" w:hAnsi="Times New Roman;serif"/>
                <w:b w:val="false"/>
                <w:color w:val="000000"/>
                <w:sz w:val="24"/>
                <w:u w:val="single"/>
              </w:rPr>
              <w:t>/s/ Mark E. Jones</w:t>
            </w:r>
            <w:r>
              <w:rPr>
                <w:rFonts w:ascii="Times New Roman;serif" w:hAnsi="Times New Roman;serif"/>
                <w:b w:val="false"/>
                <w:color w:val="000000"/>
                <w:sz w:val="24"/>
              </w:rPr>
              <w:br/>
              <w:t>Name: Mark E. Jones</w:t>
              <w:br/>
              <w:t>Title: Trustee</w:t>
              <w:br/>
              <w:t>Date: July 8, 2026</w:t>
            </w:r>
          </w:p>
        </w:tc>
      </w:tr>
      <w:tr>
        <w:trPr/>
        <w:tc>
          <w:tcPr>
            <w:tcW w:w="511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rPr>
              <w:t>The Desiree Robyn Coleman Family Trust 2014</w:t>
              <w:br/>
              <w:br/>
            </w:r>
            <w:r>
              <w:rPr>
                <w:rFonts w:ascii="Times New Roman;serif" w:hAnsi="Times New Roman;serif"/>
                <w:b w:val="false"/>
                <w:color w:val="000000"/>
                <w:sz w:val="24"/>
                <w:u w:val="single"/>
              </w:rPr>
              <w:t>/s/ Mark E. Jones</w:t>
            </w:r>
            <w:r>
              <w:rPr>
                <w:rFonts w:ascii="Times New Roman;serif" w:hAnsi="Times New Roman;serif"/>
                <w:b w:val="false"/>
                <w:color w:val="000000"/>
                <w:sz w:val="24"/>
              </w:rPr>
              <w:br/>
              <w:t>Name: Mark E. Jones</w:t>
              <w:br/>
              <w:t>Title: Trustee</w:t>
              <w:br/>
              <w:t>Date: July 8, 2026</w:t>
            </w:r>
          </w:p>
        </w:tc>
        <w:tc>
          <w:tcPr>
            <w:tcW w:w="48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rPr>
              <w:t>The Adrienne Morgan Jones Family Trust 2014</w:t>
              <w:br/>
              <w:br/>
            </w:r>
            <w:r>
              <w:rPr>
                <w:rFonts w:ascii="Times New Roman;serif" w:hAnsi="Times New Roman;serif"/>
                <w:b w:val="false"/>
                <w:color w:val="000000"/>
                <w:sz w:val="24"/>
                <w:u w:val="single"/>
              </w:rPr>
              <w:t>/s/ Mark E. Jones</w:t>
            </w:r>
            <w:r>
              <w:rPr>
                <w:rFonts w:ascii="Times New Roman;serif" w:hAnsi="Times New Roman;serif"/>
                <w:b w:val="false"/>
                <w:color w:val="000000"/>
                <w:sz w:val="24"/>
              </w:rPr>
              <w:br/>
              <w:t>Name: Mark E. Jones</w:t>
              <w:br/>
              <w:t>Title: Trustee</w:t>
              <w:br/>
              <w:t>Date: July 8, 2026</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rPr>
              <w:t>The Mark Evan Jones, Jr. Family Trust 2014</w:t>
              <w:br/>
              <w:br/>
            </w:r>
            <w:r>
              <w:rPr>
                <w:rFonts w:ascii="Times New Roman;serif" w:hAnsi="Times New Roman;serif"/>
                <w:b w:val="false"/>
                <w:color w:val="000000"/>
                <w:sz w:val="24"/>
                <w:u w:val="single"/>
              </w:rPr>
              <w:t>/s/ Mark E. Jones</w:t>
            </w:r>
            <w:r>
              <w:rPr>
                <w:rFonts w:ascii="Times New Roman;serif" w:hAnsi="Times New Roman;serif"/>
                <w:b w:val="false"/>
                <w:color w:val="000000"/>
                <w:sz w:val="24"/>
              </w:rPr>
              <w:br/>
              <w:t>Name: Mark E. Jones</w:t>
              <w:br/>
              <w:t>Title: Trustee</w:t>
              <w:br/>
              <w:t>Date: July 8, 2026</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u w:val="single"/>
              </w:rPr>
              <w:t>/s/ Serena Jones</w:t>
            </w:r>
            <w:r>
              <w:rPr>
                <w:rFonts w:ascii="Times New Roman;serif" w:hAnsi="Times New Roman;serif"/>
                <w:b w:val="false"/>
                <w:color w:val="000000"/>
                <w:sz w:val="24"/>
              </w:rPr>
              <w:br/>
              <w:t>Name: Serena Jones</w:t>
              <w:br/>
              <w:t>Date: July 8, 2026</w:t>
            </w:r>
          </w:p>
        </w:tc>
      </w:tr>
      <w:tr>
        <w:trPr/>
        <w:tc>
          <w:tcPr>
            <w:tcW w:w="511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u w:val="single"/>
              </w:rPr>
              <w:t>/s/ Lanni Romney</w:t>
            </w:r>
            <w:r>
              <w:rPr>
                <w:rFonts w:ascii="Times New Roman;serif" w:hAnsi="Times New Roman;serif"/>
                <w:b w:val="false"/>
                <w:color w:val="000000"/>
                <w:sz w:val="24"/>
              </w:rPr>
              <w:br/>
              <w:t>Name: Lanni Romney</w:t>
              <w:br/>
              <w:t>Date: July 8, 2026</w:t>
            </w:r>
          </w:p>
        </w:tc>
        <w:tc>
          <w:tcPr>
            <w:tcW w:w="48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u w:val="single"/>
              </w:rPr>
              <w:t>/s/ Lindy Langston</w:t>
            </w:r>
            <w:r>
              <w:rPr>
                <w:rFonts w:ascii="Times New Roman;serif" w:hAnsi="Times New Roman;serif"/>
                <w:b w:val="false"/>
                <w:color w:val="000000"/>
                <w:sz w:val="24"/>
              </w:rPr>
              <w:br/>
              <w:t>Name: Lindy Langston</w:t>
              <w:br/>
              <w:t>Date: July 8, 2026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right"/>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Amended &amp; Restated Stockholder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right"/>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Amended &amp; Restated Stockholder Agreement</w:t>
                      </w:r>
                      <w:r>
                        <w:rPr>
                          <w:rFonts w:ascii="Times New Roman;serif" w:hAnsi="Times New Roman;serif"/>
                          <w:b w:val="false"/>
                          <w:color w:val="000000"/>
                          <w:sz w:val="24"/>
                        </w:rPr>
                        <w:t>]</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05"/>
        <w:gridCol w:w="1059"/>
        <w:gridCol w:w="1066"/>
        <w:gridCol w:w="2023"/>
        <w:gridCol w:w="2003"/>
        <w:gridCol w:w="2849"/>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u w:val="single"/>
              </w:rPr>
              <w:t>/s/ Camille Peterson</w:t>
            </w:r>
            <w:r>
              <w:rPr>
                <w:rFonts w:ascii="Times New Roman;serif" w:hAnsi="Times New Roman;serif"/>
                <w:b w:val="false"/>
                <w:color w:val="000000"/>
                <w:sz w:val="24"/>
              </w:rPr>
              <w:br/>
              <w:t>Name: Camille Peterson</w:t>
              <w:br/>
              <w:t>Date: July 8, 2026</w:t>
            </w:r>
          </w:p>
        </w:tc>
        <w:tc>
          <w:tcPr>
            <w:tcW w:w="687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u w:val="single"/>
              </w:rPr>
              <w:t>/s/ Desiree Coleman</w:t>
            </w:r>
            <w:r>
              <w:rPr>
                <w:rFonts w:ascii="Times New Roman;serif" w:hAnsi="Times New Roman;serif"/>
                <w:b w:val="false"/>
                <w:color w:val="000000"/>
                <w:sz w:val="24"/>
              </w:rPr>
              <w:br/>
              <w:t>Name: Desiree Coleman</w:t>
              <w:br/>
              <w:t>Date: July 8, 2026</w:t>
            </w:r>
          </w:p>
        </w:tc>
      </w:tr>
      <w:tr>
        <w:trPr/>
        <w:tc>
          <w:tcPr>
            <w:tcW w:w="333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u w:val="single"/>
              </w:rPr>
              <w:t>/s/ Adrienne (Jones) Kebodeaux</w:t>
            </w:r>
            <w:r>
              <w:rPr>
                <w:rFonts w:ascii="Times New Roman;serif" w:hAnsi="Times New Roman;serif"/>
                <w:b w:val="false"/>
                <w:color w:val="000000"/>
                <w:sz w:val="24"/>
              </w:rPr>
              <w:br/>
              <w:t>Name: Adrienne (Jones) Kebodeaux</w:t>
              <w:br/>
              <w:t>Date: July 8, 2026</w:t>
            </w:r>
          </w:p>
        </w:tc>
        <w:tc>
          <w:tcPr>
            <w:tcW w:w="687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u w:val="single"/>
              </w:rPr>
              <w:t>/s/ Mark E. Jones, Jr.</w:t>
            </w:r>
            <w:r>
              <w:rPr>
                <w:rFonts w:ascii="Times New Roman;serif" w:hAnsi="Times New Roman;serif"/>
                <w:b w:val="false"/>
                <w:color w:val="000000"/>
                <w:sz w:val="24"/>
              </w:rPr>
              <w:br/>
              <w:t>Name: Mark E. Jones, Jr.</w:t>
              <w:br/>
              <w:t>Date: July 8, 2026</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rPr>
              <w:t>Texas Wasatch Insurance Partners, L.P.</w:t>
              <w:br/>
              <w:br/>
              <w:t>By: Texas Wasatch Insurance Holdings Group, LLC, its General Partner</w:t>
              <w:br/>
              <w:br/>
            </w:r>
            <w:r>
              <w:rPr>
                <w:rFonts w:ascii="Times New Roman;serif" w:hAnsi="Times New Roman;serif"/>
                <w:b w:val="false"/>
                <w:color w:val="000000"/>
                <w:sz w:val="24"/>
                <w:u w:val="single"/>
              </w:rPr>
              <w:t>/s/ Mark E. Jones</w:t>
            </w:r>
            <w:r>
              <w:rPr>
                <w:rFonts w:ascii="Times New Roman;serif" w:hAnsi="Times New Roman;serif"/>
                <w:b w:val="false"/>
                <w:color w:val="000000"/>
                <w:sz w:val="24"/>
              </w:rPr>
              <w:br/>
              <w:t>Name: Mark E. Jones</w:t>
              <w:br/>
              <w:t>Title: Authorized Signatory, Texas Wasatch Insurance Holdings Group, LLC</w:t>
              <w:br/>
              <w:t>Date: July 8, 2026</w:t>
            </w:r>
          </w:p>
          <w:p>
            <w:pPr>
              <w:pStyle w:val="TableContents"/>
              <w:bidi w:val="0"/>
              <w:spacing w:before="0" w:after="0"/>
              <w:jc w:val="left"/>
              <w:rPr/>
            </w:pPr>
            <w:r>
              <w:rPr/>
            </w:r>
          </w:p>
          <w:p>
            <w:pPr>
              <w:pStyle w:val="TableContents"/>
              <w:bidi w:val="0"/>
              <w:spacing w:lineRule="auto" w:line="240" w:before="0" w:after="0"/>
              <w:jc w:val="left"/>
              <w:rPr/>
            </w:pPr>
            <w:r>
              <w:rPr>
                <w:rFonts w:ascii="Times New Roman;serif" w:hAnsi="Times New Roman;serif"/>
                <w:b w:val="false"/>
                <w:color w:val="000000"/>
                <w:sz w:val="24"/>
              </w:rPr>
              <w:t>Goosehead Insurance, Inc.</w:t>
              <w:br/>
              <w:br/>
            </w:r>
            <w:r>
              <w:rPr>
                <w:rFonts w:ascii="Times New Roman;serif" w:hAnsi="Times New Roman;serif"/>
                <w:b w:val="false"/>
                <w:color w:val="000000"/>
                <w:sz w:val="24"/>
                <w:u w:val="single"/>
              </w:rPr>
              <w:t>/s/ Mark K. Miller</w:t>
            </w:r>
            <w:r>
              <w:rPr>
                <w:rFonts w:ascii="Times New Roman;serif" w:hAnsi="Times New Roman;serif"/>
                <w:b w:val="false"/>
                <w:color w:val="000000"/>
                <w:sz w:val="24"/>
              </w:rPr>
              <w:br/>
              <w:t>Name: Mark K. Miller</w:t>
              <w:br/>
              <w:t>Title: Chief Executive Officer</w:t>
              <w:br/>
              <w:t>Date: July 8, 2026</w:t>
            </w:r>
          </w:p>
        </w:tc>
      </w:tr>
    </w:tbl>
    <w:p>
      <w:pPr>
        <w:pStyle w:val="TextBody"/>
        <w:bidi w:val="0"/>
        <w:spacing w:before="0" w:after="24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40"/>
                              <w:jc w:val="right"/>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Amended &amp; Restated Stockholder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right"/>
                        <w:rPr/>
                      </w:pPr>
                      <w:r>
                        <w:rPr>
                          <w:rFonts w:ascii="Times New Roman;serif" w:hAnsi="Times New Roman;serif"/>
                          <w:b w:val="false"/>
                          <w:color w:val="000000"/>
                          <w:sz w:val="24"/>
                        </w:rPr>
                        <w:t>[</w:t>
                      </w:r>
                      <w:r>
                        <w:rPr>
                          <w:rFonts w:ascii="Times New Roman;serif" w:hAnsi="Times New Roman;serif"/>
                          <w:b w:val="false"/>
                          <w:i/>
                          <w:color w:val="000000"/>
                          <w:sz w:val="24"/>
                        </w:rPr>
                        <w:t>Signature page to Amended &amp; Restated Stockholder Agreement</w:t>
                      </w:r>
                      <w:r>
                        <w:rPr>
                          <w:rFonts w:ascii="Times New Roman;serif" w:hAnsi="Times New Roman;serif"/>
                          <w:b w:val="false"/>
                          <w:color w:val="000000"/>
                          <w:sz w:val="24"/>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4447</Words>
  <Characters>24150</Characters>
  <CharactersWithSpaces>28502</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