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Goosehead Insurance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1,033,376.00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1,347,717.00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1,106,186.00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1,347,717.00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2,453,903.00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740"/>
          </w:cols>
          <w:pgMar w:left="360" w:top="111" w:right="6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Goosehead Insurance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1500 SOLANA BLVD, BUILDING 4, SUITE 4500, WESTLAKE, TX, 76262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Kayne Anderson Rudnick Investment Management, LLC - 2000 Avenue of the Stars, Suite 1110, Los Angeles, CA 90067, US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500"/>
        <w:spacing w:after="0" w:line="256" w:lineRule="auto"/>
        <w:rPr>
          <w:sz w:val="20"/>
          <w:szCs w:val="20"/>
          <w:color w:val="auto"/>
        </w:rPr>
      </w:pPr>
      <w:r>
        <w:rPr>
          <w:rFonts w:ascii="Times New Roman" w:cs="Times New Roman" w:eastAsia="Times New Roman" w:hAnsi="Times New Roman"/>
          <w:sz w:val="22"/>
          <w:szCs w:val="22"/>
          <w:color w:val="auto"/>
        </w:rPr>
        <w:t>Kayne Anderson Rudnick Investment Management, LLC - CALIFORNIA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860"/>
          </w:cols>
          <w:pgMar w:left="360" w:top="111" w:right="679" w:bottom="0" w:gutter="0" w:footer="0" w:header="0"/>
          <w:type w:val="continuous"/>
        </w:sectPr>
      </w:pPr>
    </w:p>
    <w:bookmarkStart w:id="2" w:name="page3"/>
    <w:bookmarkEnd w:id="2"/>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2,453,903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1,033,376</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1,347,717</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1,106,186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1,347,717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/s/Michael Shoemaker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8"/>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2026-06-04T15:06:33Z</dcterms:created>
  <dcterms:modified xsi:type="dcterms:W3CDTF">2026-06-04T15:06:33Z</dcterms:modified>
</cp:coreProperties>
</file>