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0001849957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2"/>
        <w:gridCol w:w="4183"/>
      </w:tblGrid>
      <w:tr>
        <w:trPr/>
        <w:tc>
          <w:tcPr>
            <w:tcW w:w="6022" w:type="dxa"/>
            <w:tcBorders/>
            <w:vAlign w:val="center"/>
          </w:tcPr>
          <w:p>
            <w:pPr>
              <w:pStyle w:val="TableContents"/>
              <w:bidi w:val="0"/>
              <w:spacing w:before="0" w:after="283"/>
              <w:jc w:val="left"/>
              <w:rPr/>
            </w:pPr>
            <w:r>
              <w:rPr/>
              <w:t>Name of Issuer</w:t>
            </w:r>
          </w:p>
        </w:tc>
        <w:tc>
          <w:tcPr>
            <w:tcW w:w="4183" w:type="dxa"/>
            <w:tcBorders/>
            <w:vAlign w:val="center"/>
          </w:tcPr>
          <w:p>
            <w:pPr>
              <w:pStyle w:val="TableContents"/>
              <w:bidi w:val="0"/>
              <w:spacing w:before="0" w:after="0"/>
              <w:jc w:val="left"/>
              <w:rPr/>
            </w:pPr>
            <w:r>
              <w:rPr/>
              <w:t>Goosehead Insurance, Inc.</w:t>
            </w:r>
          </w:p>
        </w:tc>
      </w:tr>
      <w:tr>
        <w:trPr/>
        <w:tc>
          <w:tcPr>
            <w:tcW w:w="6022" w:type="dxa"/>
            <w:tcBorders/>
            <w:vAlign w:val="center"/>
          </w:tcPr>
          <w:p>
            <w:pPr>
              <w:pStyle w:val="TableContents"/>
              <w:bidi w:val="0"/>
              <w:spacing w:before="0" w:after="283"/>
              <w:jc w:val="left"/>
              <w:rPr/>
            </w:pPr>
            <w:r>
              <w:rPr/>
              <w:t>SEC File Number</w:t>
            </w:r>
          </w:p>
        </w:tc>
        <w:tc>
          <w:tcPr>
            <w:tcW w:w="4183" w:type="dxa"/>
            <w:tcBorders/>
            <w:vAlign w:val="center"/>
          </w:tcPr>
          <w:p>
            <w:pPr>
              <w:pStyle w:val="TableContents"/>
              <w:bidi w:val="0"/>
              <w:spacing w:before="0" w:after="0"/>
              <w:jc w:val="left"/>
              <w:rPr/>
            </w:pPr>
            <w:r>
              <w:rPr/>
              <w:t>001-38466</w:t>
            </w:r>
          </w:p>
        </w:tc>
      </w:tr>
      <w:tr>
        <w:trPr/>
        <w:tc>
          <w:tcPr>
            <w:tcW w:w="6022" w:type="dxa"/>
            <w:tcBorders/>
            <w:vAlign w:val="center"/>
          </w:tcPr>
          <w:p>
            <w:pPr>
              <w:pStyle w:val="TableContents"/>
              <w:bidi w:val="0"/>
              <w:spacing w:before="0" w:after="283"/>
              <w:jc w:val="left"/>
              <w:rPr/>
            </w:pPr>
            <w:r>
              <w:rPr/>
              <w:t>Address of Issuer</w:t>
            </w:r>
          </w:p>
        </w:tc>
        <w:tc>
          <w:tcPr>
            <w:tcW w:w="4183" w:type="dxa"/>
            <w:tcBorders/>
            <w:vAlign w:val="center"/>
          </w:tcPr>
          <w:p>
            <w:pPr>
              <w:pStyle w:val="TableContents"/>
              <w:bidi w:val="0"/>
              <w:spacing w:before="0" w:after="0"/>
              <w:jc w:val="left"/>
              <w:rPr/>
            </w:pPr>
            <w:r>
              <w:rPr/>
              <w:t>1500 Solana Blvd, Building 4, Suite 4500</w:t>
              <w:br/>
              <w:t>Westlake</w:t>
              <w:br/>
              <w:t xml:space="preserve">TEXAS </w:t>
              <w:br/>
              <w:t>76262</w:t>
            </w:r>
          </w:p>
        </w:tc>
      </w:tr>
      <w:tr>
        <w:trPr/>
        <w:tc>
          <w:tcPr>
            <w:tcW w:w="6022" w:type="dxa"/>
            <w:tcBorders/>
            <w:vAlign w:val="center"/>
          </w:tcPr>
          <w:p>
            <w:pPr>
              <w:pStyle w:val="TableContents"/>
              <w:bidi w:val="0"/>
              <w:spacing w:before="0" w:after="283"/>
              <w:jc w:val="left"/>
              <w:rPr/>
            </w:pPr>
            <w:r>
              <w:rPr/>
              <w:t>Phone</w:t>
            </w:r>
          </w:p>
        </w:tc>
        <w:tc>
          <w:tcPr>
            <w:tcW w:w="4183" w:type="dxa"/>
            <w:tcBorders/>
            <w:vAlign w:val="center"/>
          </w:tcPr>
          <w:p>
            <w:pPr>
              <w:pStyle w:val="TableContents"/>
              <w:bidi w:val="0"/>
              <w:spacing w:before="0" w:after="0"/>
              <w:jc w:val="left"/>
              <w:rPr/>
            </w:pPr>
            <w:r>
              <w:rPr/>
              <w:t>214-838-5500</w:t>
            </w:r>
          </w:p>
        </w:tc>
      </w:tr>
      <w:tr>
        <w:trPr/>
        <w:tc>
          <w:tcPr>
            <w:tcW w:w="6022" w:type="dxa"/>
            <w:tcBorders/>
            <w:vAlign w:val="center"/>
          </w:tcPr>
          <w:p>
            <w:pPr>
              <w:pStyle w:val="TableContents"/>
              <w:bidi w:val="0"/>
              <w:spacing w:before="0" w:after="283"/>
              <w:jc w:val="left"/>
              <w:rPr/>
            </w:pPr>
            <w:r>
              <w:rPr/>
              <w:t>Name of Person for Whose Account the Securities are To Be Sold</w:t>
            </w:r>
          </w:p>
        </w:tc>
        <w:tc>
          <w:tcPr>
            <w:tcW w:w="4183" w:type="dxa"/>
            <w:tcBorders/>
            <w:vAlign w:val="center"/>
          </w:tcPr>
          <w:p>
            <w:pPr>
              <w:pStyle w:val="TableContents"/>
              <w:bidi w:val="0"/>
              <w:spacing w:before="0" w:after="0"/>
              <w:jc w:val="left"/>
              <w:rPr/>
            </w:pPr>
            <w:r>
              <w:rPr/>
              <w:t>SLJ Dynasty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2" w:type="dxa"/>
            <w:tcBorders/>
            <w:vAlign w:val="center"/>
          </w:tcPr>
          <w:p>
            <w:pPr>
              <w:pStyle w:val="TableContents"/>
              <w:bidi w:val="0"/>
              <w:spacing w:before="0" w:after="283"/>
              <w:jc w:val="left"/>
              <w:rPr/>
            </w:pPr>
            <w:r>
              <w:rPr/>
              <w:t>Relationship to Issuer</w:t>
            </w:r>
          </w:p>
        </w:tc>
        <w:tc>
          <w:tcPr>
            <w:tcW w:w="4183"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w:t>
            </w:r>
          </w:p>
        </w:tc>
        <w:tc>
          <w:tcPr>
            <w:tcW w:w="1501" w:type="dxa"/>
            <w:tcBorders/>
            <w:vAlign w:val="center"/>
          </w:tcPr>
          <w:p>
            <w:pPr>
              <w:pStyle w:val="TableContents"/>
              <w:bidi w:val="0"/>
              <w:spacing w:before="0" w:after="0"/>
              <w:jc w:val="left"/>
              <w:rPr/>
            </w:pPr>
            <w:r>
              <w:rPr/>
              <w:t>JP Morgan Securities LLC</w:t>
              <w:br/>
              <w:t>270 Park Avenue</w:t>
              <w:br/>
              <w:t>10th Floor</w:t>
              <w:br/>
              <w:t>New York   NY   10017</w:t>
            </w:r>
          </w:p>
        </w:tc>
        <w:tc>
          <w:tcPr>
            <w:tcW w:w="1176" w:type="dxa"/>
            <w:tcBorders/>
            <w:vAlign w:val="center"/>
          </w:tcPr>
          <w:p>
            <w:pPr>
              <w:pStyle w:val="TableContents"/>
              <w:bidi w:val="0"/>
              <w:spacing w:before="0" w:after="283"/>
              <w:jc w:val="left"/>
              <w:rPr/>
            </w:pPr>
            <w:r>
              <w:rPr/>
              <w:t>15000</w:t>
            </w:r>
          </w:p>
        </w:tc>
        <w:tc>
          <w:tcPr>
            <w:tcW w:w="1385" w:type="dxa"/>
            <w:tcBorders/>
            <w:vAlign w:val="center"/>
          </w:tcPr>
          <w:p>
            <w:pPr>
              <w:pStyle w:val="TableContents"/>
              <w:bidi w:val="0"/>
              <w:spacing w:before="0" w:after="283"/>
              <w:jc w:val="left"/>
              <w:rPr/>
            </w:pPr>
            <w:r>
              <w:rPr/>
              <w:t>983250</w:t>
            </w:r>
          </w:p>
        </w:tc>
        <w:tc>
          <w:tcPr>
            <w:tcW w:w="1559" w:type="dxa"/>
            <w:tcBorders/>
            <w:vAlign w:val="center"/>
          </w:tcPr>
          <w:p>
            <w:pPr>
              <w:pStyle w:val="TableContents"/>
              <w:bidi w:val="0"/>
              <w:spacing w:before="0" w:after="283"/>
              <w:jc w:val="left"/>
              <w:rPr/>
            </w:pPr>
            <w:r>
              <w:rPr/>
              <w:t>23802805</w:t>
            </w:r>
          </w:p>
        </w:tc>
        <w:tc>
          <w:tcPr>
            <w:tcW w:w="1571" w:type="dxa"/>
            <w:tcBorders/>
            <w:vAlign w:val="center"/>
          </w:tcPr>
          <w:p>
            <w:pPr>
              <w:pStyle w:val="TableContents"/>
              <w:bidi w:val="0"/>
              <w:spacing w:before="0" w:after="283"/>
              <w:jc w:val="left"/>
              <w:rPr/>
            </w:pPr>
            <w:r>
              <w:rPr/>
              <w:t>08/13/2026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2"/>
        <w:gridCol w:w="1503"/>
        <w:gridCol w:w="1214"/>
        <w:gridCol w:w="535"/>
        <w:gridCol w:w="1142"/>
        <w:gridCol w:w="1205"/>
        <w:gridCol w:w="1083"/>
        <w:gridCol w:w="1226"/>
      </w:tblGrid>
      <w:tr>
        <w:trPr/>
        <w:tc>
          <w:tcPr>
            <w:tcW w:w="1155" w:type="dxa"/>
            <w:tcBorders/>
            <w:vAlign w:val="center"/>
          </w:tcPr>
          <w:p>
            <w:pPr>
              <w:pStyle w:val="TableHeading"/>
              <w:suppressLineNumbers/>
              <w:bidi w:val="0"/>
              <w:spacing w:before="0" w:after="283"/>
              <w:jc w:val="center"/>
              <w:rPr/>
            </w:pPr>
            <w:r>
              <w:rPr/>
              <w:t>Title of the Class</w:t>
            </w:r>
          </w:p>
        </w:tc>
        <w:tc>
          <w:tcPr>
            <w:tcW w:w="1142"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2"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Class A Common</w:t>
            </w:r>
          </w:p>
        </w:tc>
        <w:tc>
          <w:tcPr>
            <w:tcW w:w="1142" w:type="dxa"/>
            <w:tcBorders/>
            <w:vAlign w:val="center"/>
          </w:tcPr>
          <w:p>
            <w:pPr>
              <w:pStyle w:val="TableContents"/>
              <w:bidi w:val="0"/>
              <w:spacing w:before="0" w:after="283"/>
              <w:jc w:val="left"/>
              <w:rPr/>
            </w:pPr>
            <w:r>
              <w:rPr/>
              <w:t>08/13/2026</w:t>
            </w:r>
          </w:p>
        </w:tc>
        <w:tc>
          <w:tcPr>
            <w:tcW w:w="1503" w:type="dxa"/>
            <w:tcBorders/>
            <w:vAlign w:val="center"/>
          </w:tcPr>
          <w:p>
            <w:pPr>
              <w:pStyle w:val="TableContents"/>
              <w:bidi w:val="0"/>
              <w:spacing w:before="0" w:after="283"/>
              <w:jc w:val="left"/>
              <w:rPr/>
            </w:pPr>
            <w:r>
              <w:rPr/>
              <w:t>Class A Common Shares received in exchange of Class B Units. The Class B Units were acquired on April 27, 2018</w:t>
            </w:r>
          </w:p>
        </w:tc>
        <w:tc>
          <w:tcPr>
            <w:tcW w:w="1214" w:type="dxa"/>
            <w:tcBorders/>
            <w:vAlign w:val="center"/>
          </w:tcPr>
          <w:p>
            <w:pPr>
              <w:pStyle w:val="TableContents"/>
              <w:bidi w:val="0"/>
              <w:spacing w:before="0" w:after="283"/>
              <w:jc w:val="left"/>
              <w:rPr/>
            </w:pPr>
            <w:r>
              <w:rPr/>
              <w:t>Issuer</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83" w:type="dxa"/>
            <w:tcBorders/>
            <w:vAlign w:val="center"/>
          </w:tcPr>
          <w:p>
            <w:pPr>
              <w:pStyle w:val="TableContents"/>
              <w:bidi w:val="0"/>
              <w:spacing w:before="0" w:after="283"/>
              <w:jc w:val="left"/>
              <w:rPr/>
            </w:pPr>
            <w:r>
              <w:rPr/>
              <w:t>08/13/2026</w:t>
            </w:r>
          </w:p>
        </w:tc>
        <w:tc>
          <w:tcPr>
            <w:tcW w:w="122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33"/>
        <w:gridCol w:w="8272"/>
      </w:tblGrid>
      <w:tr>
        <w:trPr/>
        <w:tc>
          <w:tcPr>
            <w:tcW w:w="1933" w:type="dxa"/>
            <w:tcBorders/>
            <w:vAlign w:val="center"/>
          </w:tcPr>
          <w:p>
            <w:pPr>
              <w:pStyle w:val="TableContents"/>
              <w:bidi w:val="0"/>
              <w:spacing w:before="0" w:after="283"/>
              <w:jc w:val="left"/>
              <w:rPr/>
            </w:pPr>
            <w:r>
              <w:rPr/>
              <w:t>Remarks</w:t>
            </w:r>
          </w:p>
        </w:tc>
        <w:tc>
          <w:tcPr>
            <w:tcW w:w="8272" w:type="dxa"/>
            <w:tcBorders/>
            <w:vAlign w:val="center"/>
          </w:tcPr>
          <w:p>
            <w:pPr>
              <w:pStyle w:val="TableContents"/>
              <w:bidi w:val="0"/>
              <w:spacing w:before="0" w:after="0"/>
              <w:jc w:val="left"/>
              <w:rPr/>
            </w:pPr>
            <w:r>
              <w:rPr/>
              <w:t>Class B Common Stock to be exchanged for Class A Common Stock on 08/13/2026 or soon thereafter.</w:t>
            </w:r>
          </w:p>
        </w:tc>
      </w:tr>
      <w:tr>
        <w:trPr/>
        <w:tc>
          <w:tcPr>
            <w:tcW w:w="1933" w:type="dxa"/>
            <w:tcBorders/>
            <w:vAlign w:val="center"/>
          </w:tcPr>
          <w:p>
            <w:pPr>
              <w:pStyle w:val="TableContents"/>
              <w:bidi w:val="0"/>
              <w:spacing w:before="0" w:after="283"/>
              <w:jc w:val="left"/>
              <w:rPr/>
            </w:pPr>
            <w:r>
              <w:rPr/>
              <w:t>Date of Notice</w:t>
            </w:r>
          </w:p>
        </w:tc>
        <w:tc>
          <w:tcPr>
            <w:tcW w:w="8272"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33" w:type="dxa"/>
            <w:tcBorders/>
            <w:vAlign w:val="center"/>
          </w:tcPr>
          <w:p>
            <w:pPr>
              <w:pStyle w:val="TableContents"/>
              <w:bidi w:val="0"/>
              <w:spacing w:before="0" w:after="283"/>
              <w:jc w:val="left"/>
              <w:rPr/>
            </w:pPr>
            <w:r>
              <w:rPr/>
              <w:t>Signature</w:t>
            </w:r>
          </w:p>
        </w:tc>
        <w:tc>
          <w:tcPr>
            <w:tcW w:w="8272" w:type="dxa"/>
            <w:tcBorders/>
            <w:vAlign w:val="center"/>
          </w:tcPr>
          <w:p>
            <w:pPr>
              <w:pStyle w:val="TableContents"/>
              <w:bidi w:val="0"/>
              <w:spacing w:before="0" w:after="0"/>
              <w:jc w:val="left"/>
              <w:rPr/>
            </w:pPr>
            <w:r>
              <w:rPr/>
              <w:t>/s/ J.P. Morgan Securities LLC as agent and attorney-in-fact for SLJ Dynasty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3106</Characters>
  <CharactersWithSpaces>3676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