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Goosehead Insurance,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Durable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2,570,260.00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2,570,260.00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2,570,260.00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Goosehead Insurance,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Solana Boulevard, Building 4, Suite 4500, Westlake TX 76262</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Durable Capital Partners LP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4747 Bethesda Avenue, Suite 1002, Bethesda, Maryland 20814</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limited partnership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the Reporting Person is set forth in Rows 5 through 9 and 11 of the cover page to this Schedule 13G. The ownership percentages reported are based on 23,802,805 outstanding Class A Common Stock, $0.01 per share (the "Shares") as of July 20, 2026, as reported in the Issuer's Form 10-Q filed with the Securities and Exchange Commission on July 23, 2026. Durable Capital Master Fund LP directly holds 2,570,260 Shares. The Reporting Person, as the investment adviser to Durable Capital Master Fund LP, has sole power to direct the vote and disposition of the Shares. Durable Capital Partners GP LLC ("Durable GP") is the general partner of the Reporting Person, and Henry Ellenbogen is the chief investment officer of the Reporting Person and the managing member of Durable GP.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10.8  %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2570260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2570260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of relationships among parties under Item 4. The economic benefits of the Shares are shared based on agreements among the parties.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control and Shares holding disclosure in Item 4.</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Durable Capital Partners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1"/>
        <w:gridCol w:w="4454"/>
      </w:tblGrid>
      <w:tr>
        <w:trPr/>
        <w:tc>
          <w:tcPr>
            <w:tcW w:w="57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Julie Jack</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Julie Jack, Authorized Person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1071</Words>
  <Characters>5467</Characters>
  <CharactersWithSpaces>6527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